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844" w:rsidRDefault="004B3C51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8</w:t>
      </w:r>
      <w:r>
        <w:rPr>
          <w:b/>
          <w:color w:val="000000"/>
          <w:sz w:val="22"/>
          <w:szCs w:val="22"/>
        </w:rPr>
        <w:t xml:space="preserve">.7 </w:t>
      </w:r>
      <w:r>
        <w:rPr>
          <w:b/>
          <w:sz w:val="22"/>
          <w:szCs w:val="22"/>
        </w:rPr>
        <w:t>do SWZ</w:t>
      </w:r>
      <w:bookmarkStart w:id="0" w:name="_GoBack"/>
      <w:bookmarkEnd w:id="0"/>
      <w:r>
        <w:rPr>
          <w:b/>
          <w:sz w:val="22"/>
          <w:szCs w:val="22"/>
        </w:rPr>
        <w:t>/</w:t>
      </w:r>
    </w:p>
    <w:p w:rsidR="00084844" w:rsidRDefault="004B3C51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umowy</w:t>
      </w:r>
    </w:p>
    <w:p w:rsidR="00084844" w:rsidRDefault="00084844">
      <w:pPr>
        <w:pStyle w:val="Standard"/>
        <w:jc w:val="center"/>
        <w:rPr>
          <w:b/>
          <w:bCs/>
        </w:rPr>
      </w:pPr>
    </w:p>
    <w:p w:rsidR="00084844" w:rsidRDefault="00084844">
      <w:pPr>
        <w:pStyle w:val="Standard"/>
        <w:jc w:val="center"/>
        <w:rPr>
          <w:b/>
          <w:bCs/>
        </w:rPr>
      </w:pPr>
    </w:p>
    <w:p w:rsidR="00084844" w:rsidRDefault="00084844">
      <w:pPr>
        <w:pStyle w:val="Standard"/>
        <w:jc w:val="center"/>
        <w:rPr>
          <w:b/>
          <w:bCs/>
        </w:rPr>
      </w:pPr>
    </w:p>
    <w:p w:rsidR="00084844" w:rsidRDefault="004B3C51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 – Część nr 7</w:t>
      </w:r>
    </w:p>
    <w:p w:rsidR="00084844" w:rsidRDefault="00084844">
      <w:pPr>
        <w:pStyle w:val="Standard"/>
        <w:rPr>
          <w:b/>
          <w:u w:val="single"/>
        </w:rPr>
      </w:pPr>
    </w:p>
    <w:p w:rsidR="00084844" w:rsidRDefault="004B3C51">
      <w:pPr>
        <w:pStyle w:val="Standard"/>
        <w:jc w:val="both"/>
        <w:rPr>
          <w:rFonts w:eastAsia="Andale Sans UI"/>
        </w:rPr>
      </w:pPr>
      <w:r>
        <w:rPr>
          <w:rFonts w:eastAsia="Andale Sans UI"/>
        </w:rPr>
        <w:t xml:space="preserve">Przedmiotem zamówienia jest dostawa klastra do wirtualizacji składającego się z 3 serwerów do wirtualizacji, macierzy dyskowej, oprogramowania i licencji </w:t>
      </w:r>
      <w:r>
        <w:rPr>
          <w:rFonts w:eastAsia="Andale Sans UI"/>
        </w:rPr>
        <w:t>Microsoft,  biblioteki taśmowej, serwera kopii zapasowej, serwera repozytorium, oprogramowania do wirtualizacji, oprogramowania kopii zapasowej oraz usługa wdrożenia i dokumentacji.</w:t>
      </w:r>
    </w:p>
    <w:p w:rsidR="00084844" w:rsidRDefault="00084844">
      <w:pPr>
        <w:pStyle w:val="Standard"/>
        <w:jc w:val="both"/>
        <w:rPr>
          <w:rFonts w:eastAsia="Andale Sans UI"/>
          <w:bCs/>
          <w:color w:val="000000"/>
        </w:rPr>
      </w:pPr>
    </w:p>
    <w:p w:rsidR="00084844" w:rsidRDefault="004B3C51">
      <w:pPr>
        <w:pStyle w:val="Standard"/>
        <w:jc w:val="both"/>
        <w:rPr>
          <w:rFonts w:eastAsia="Andale Sans UI"/>
          <w:bCs/>
        </w:rPr>
      </w:pPr>
      <w:r>
        <w:rPr>
          <w:rFonts w:eastAsia="Andale Sans UI"/>
          <w:bCs/>
          <w:color w:val="000000"/>
        </w:rPr>
        <w:t xml:space="preserve">Wszystkie podane parametry opisujące przedmiot zamówienia są parametrami </w:t>
      </w:r>
      <w:r>
        <w:rPr>
          <w:rFonts w:eastAsia="Andale Sans UI"/>
          <w:bCs/>
          <w:color w:val="000000"/>
        </w:rPr>
        <w:t xml:space="preserve">jakościowymi określającymi właściwości (cechy) nie gorsze niż wymagane i odnoszą się do co najmniej głównych elementów składających się na przedmiot zamówienia. </w:t>
      </w:r>
      <w:r>
        <w:rPr>
          <w:rFonts w:eastAsia="Andale Sans UI"/>
          <w:bCs/>
        </w:rPr>
        <w:t>Oznacza to, że parametry mogą być odpowiednio wyższe, jeżeli dzięki temu polepszają właściwości</w:t>
      </w:r>
      <w:r>
        <w:rPr>
          <w:rFonts w:eastAsia="Andale Sans UI"/>
          <w:bCs/>
        </w:rPr>
        <w:t xml:space="preserve"> przedmiotu zamówienia.</w:t>
      </w:r>
    </w:p>
    <w:p w:rsidR="00084844" w:rsidRDefault="00084844">
      <w:pPr>
        <w:pStyle w:val="Standard"/>
        <w:jc w:val="both"/>
      </w:pPr>
    </w:p>
    <w:p w:rsidR="00084844" w:rsidRDefault="004B3C51">
      <w:pPr>
        <w:pStyle w:val="Standard"/>
        <w:jc w:val="both"/>
      </w:pPr>
      <w:r>
        <w:t xml:space="preserve">Jeżeli do opisania przedmiotu zamówienia użyto oznaczenia lub parametry wskazujące konkretnego producenta, produkt, znaki towarowe, patenty lub pochodzenie urządzeń, Zamawiający dopuszcza zastosowanie produktów równoważnych, przez </w:t>
      </w:r>
      <w:r>
        <w:t xml:space="preserve">które należy rozumieć produkty o parametrach nie gorszych od przedstawionych w OPZ.  </w:t>
      </w:r>
    </w:p>
    <w:p w:rsidR="00084844" w:rsidRDefault="00084844">
      <w:pPr>
        <w:pStyle w:val="Standard"/>
        <w:jc w:val="both"/>
      </w:pPr>
    </w:p>
    <w:p w:rsidR="00084844" w:rsidRDefault="00084844">
      <w:pPr>
        <w:pStyle w:val="Standard"/>
        <w:jc w:val="both"/>
      </w:pPr>
    </w:p>
    <w:p w:rsidR="00084844" w:rsidRDefault="00084844">
      <w:pPr>
        <w:pStyle w:val="Standard"/>
      </w:pPr>
    </w:p>
    <w:tbl>
      <w:tblPr>
        <w:tblW w:w="78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"/>
        <w:gridCol w:w="6002"/>
        <w:gridCol w:w="1533"/>
      </w:tblGrid>
      <w:tr w:rsidR="00084844">
        <w:trPr>
          <w:trHeight w:val="584"/>
          <w:jc w:val="center"/>
        </w:trPr>
        <w:tc>
          <w:tcPr>
            <w:tcW w:w="6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084844" w:rsidRDefault="004B3C51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84844" w:rsidRDefault="004B3C51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084844">
        <w:trPr>
          <w:trHeight w:val="570"/>
          <w:jc w:val="center"/>
        </w:trPr>
        <w:tc>
          <w:tcPr>
            <w:tcW w:w="62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Klaster do wirtualizacji z instalacją, wdrożeniem i dokumentacją</w:t>
            </w:r>
          </w:p>
          <w:p w:rsidR="00084844" w:rsidRDefault="004B3C51">
            <w:pPr>
              <w:pStyle w:val="Standard"/>
              <w:suppressAutoHyphens w:val="0"/>
              <w:rPr>
                <w:bCs/>
              </w:rPr>
            </w:pPr>
            <w:r>
              <w:rPr>
                <w:bCs/>
              </w:rPr>
              <w:t>składający się z: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Serwer do wirtualizacji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Macierz dyskowa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6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Oprogramowanie serwerów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Biblioteka taśmowa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Serwer kopii zapasowej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Serwer repozytorium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Oprogramowanie do wirtualizacji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  <w:tr w:rsidR="00084844">
        <w:trPr>
          <w:trHeight w:val="570"/>
          <w:jc w:val="center"/>
        </w:trPr>
        <w:tc>
          <w:tcPr>
            <w:tcW w:w="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60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Oprogramowanie do kopii zapasowej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Standard"/>
              <w:suppressAutoHyphens w:val="0"/>
              <w:snapToGri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</w:t>
            </w:r>
          </w:p>
        </w:tc>
      </w:tr>
    </w:tbl>
    <w:p w:rsidR="00084844" w:rsidRDefault="00084844">
      <w:pPr>
        <w:pStyle w:val="Standard"/>
        <w:jc w:val="both"/>
        <w:rPr>
          <w:bCs/>
          <w:sz w:val="22"/>
          <w:szCs w:val="22"/>
        </w:rPr>
      </w:pPr>
    </w:p>
    <w:p w:rsidR="00084844" w:rsidRDefault="00084844">
      <w:pPr>
        <w:pStyle w:val="Standard"/>
        <w:ind w:firstLine="709"/>
        <w:jc w:val="both"/>
      </w:pPr>
    </w:p>
    <w:p w:rsidR="00084844" w:rsidRDefault="00084844">
      <w:pPr>
        <w:pStyle w:val="Standard"/>
        <w:ind w:firstLine="709"/>
        <w:jc w:val="both"/>
      </w:pPr>
    </w:p>
    <w:p w:rsidR="00084844" w:rsidRDefault="00084844">
      <w:pPr>
        <w:pStyle w:val="Standard"/>
        <w:ind w:firstLine="709"/>
        <w:jc w:val="both"/>
      </w:pPr>
    </w:p>
    <w:p w:rsidR="00084844" w:rsidRDefault="00084844">
      <w:pPr>
        <w:pStyle w:val="Standard"/>
        <w:ind w:firstLine="709"/>
        <w:jc w:val="both"/>
      </w:pPr>
    </w:p>
    <w:p w:rsidR="00084844" w:rsidRDefault="00084844">
      <w:pPr>
        <w:pStyle w:val="Standard"/>
        <w:ind w:firstLine="709"/>
        <w:jc w:val="both"/>
      </w:pPr>
    </w:p>
    <w:p w:rsidR="00084844" w:rsidRDefault="00084844">
      <w:pPr>
        <w:pStyle w:val="Standard"/>
        <w:ind w:left="709"/>
        <w:jc w:val="both"/>
        <w:rPr>
          <w:sz w:val="22"/>
          <w:szCs w:val="22"/>
        </w:rPr>
      </w:pPr>
      <w:bookmarkStart w:id="1" w:name="_Hlk114081072"/>
      <w:bookmarkEnd w:id="1"/>
    </w:p>
    <w:p w:rsidR="00084844" w:rsidRDefault="004B3C51">
      <w:pPr>
        <w:pStyle w:val="Nagwek2"/>
        <w:widowControl/>
        <w:numPr>
          <w:ilvl w:val="0"/>
          <w:numId w:val="17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2" w:name="_Toc190718145"/>
      <w:r>
        <w:rPr>
          <w:rFonts w:ascii="Times New Roman" w:hAnsi="Times New Roman" w:cs="Times New Roman"/>
          <w:b/>
          <w:color w:val="auto"/>
        </w:rPr>
        <w:lastRenderedPageBreak/>
        <w:t>Serwer do wirtualizacji</w:t>
      </w:r>
      <w:bookmarkEnd w:id="2"/>
    </w:p>
    <w:tbl>
      <w:tblPr>
        <w:tblW w:w="9209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4"/>
        <w:gridCol w:w="7475"/>
      </w:tblGrid>
      <w:tr w:rsidR="00084844">
        <w:trPr>
          <w:trHeight w:val="42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Charakterystyka (wymagania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minimalne)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Obudowa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Obu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dowa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 wysokości max 2U. Komplet wysuwanych szyn umożliwiających montaż w szafie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wysuwanie serwera do celów serwisowych oraz organizatorem do kabli.</w:t>
            </w:r>
          </w:p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Obudowa musi mieć możliwość wyposażenia w kartę umożliwiającą dostęp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Płyta główna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Płyta główna z możliwością zainstalowania do dwóch procesorów.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Płyta główna musi być zaprojektowana przez producenta serwera i oznaczona jego znakiem firmowym.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Chipset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Dedykowany przez producenta procesora do pracy w serwerach dwuprocesorowyc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</w:t>
            </w:r>
          </w:p>
        </w:tc>
      </w:tr>
      <w:tr w:rsidR="00084844">
        <w:trPr>
          <w:trHeight w:val="1429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Procesor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Zainstalowane dwa procesory min. 16-rdzeniowe klasy x86, min. 2.8GHz, dedykowane do pracy z zaoferowanym serwerem umożliwiające osiągnięcie wyniku min. 339 w teście SPECrate2017_int_base, dostępnym na stronie www.spec.org dla konfiguracji dwupr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ocesorowej dla oferowanego modelu serwera.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RAM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Minimum 512 DDR5 RDIMM 5600MT/s, w oparciu o kości pamięci 32GB. Na płycie głównej powinno znajdować się minimum 32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sloty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przeznaczone do instalacji pamięci. Płyta główna powinna obsługiwać do 8TB pamięci RAM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Funkcjonalność pamięci RAM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Demand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Scrubing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84844" w:rsidRDefault="004B3C51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Patrol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Scrubing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84844" w:rsidRDefault="004B3C51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Permanent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Fault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Detection</w:t>
            </w:r>
            <w:proofErr w:type="spellEnd"/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Gniazda PCI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Min. 6 slotów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tym min. 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sloty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x16 i min. 2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sloty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Gen5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Interfejsy sieciowe/FC/SAS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Wbudowane min.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 interfejsy sieciowe 1Gb Ethernet w standardzie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BaseT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oraz 4 interfejsy sieciowe 10/25Gb w standardzie SFP28 obsadzone wkładkami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jednomodowymi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14:ligatures w14:val="standardContextual"/>
              </w:rPr>
              <w:t xml:space="preserve"> SFP+ 10Gb LR / SFP28 25Gb LR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(porty nie mogą być osiągnięte poprzez karty w slotach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Dodatkowa, dwuportowa karta 64Gb FC wraz z wkładkami SW o natywnej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prędkości portów.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Dyski twarde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Zainstalowane dwa dyski M.2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NVMe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SSDs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 pojemności min. 960GB Hot-Plug z możliwością konfiguracji RAID 1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Możliwość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de-DE"/>
              </w:rPr>
              <w:t>zainstalowania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dedykowanego modułu dla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hypervisora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wirtualizacyjnego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wyposażony w 2 nośniki typu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flash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o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pojemności min. 64GB, z możliwością konfiguracji zabezpieczenia synchronizacji pomiędzy nośnikami z poziomu BIOS serwera, rozwiązanie nie może powodować zmniejszenia ilości wnęk na dyski twarde.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Wbudowane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porty</w:t>
            </w:r>
            <w:proofErr w:type="spellEnd"/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4x USB, w tym min. 1 port USB 3.0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porty VG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A,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 rozbudowy o Serial Port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Video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Zintegrowana karta graficzna umożliwiająca wyświetlenie rozdzielczości min. 1920 x 1200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Wentylatory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Redundantne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Zasilacze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Redundantne, Hot-Plug min. 1100W każdy wraz z kablami zasilającymi o długości min. 2m.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Zatrzask górnej pokrywy oraz blokada na ramce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panela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zamykana na klucz służąca do ochrony nieautoryzowanego dostępu do dysków twardych.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wyłączenia w BIOS funkcji przycisku zasilania.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BIOS ma możliwość przejścia do bezpiecznego tryb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 rozruchowego 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możliwością zarządzania blokadą zasilania, panelem sterowania oraz zmianą hasła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Wbudowany czujnik otwarcia obudowy współpracujący z BIOS i kartą zarządzającą.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Moduł TPM 2.0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dynamicznego włączania I wyłączania portów USB na obudow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ie – bez potrzeby restartu serwera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</w:tr>
      <w:tr w:rsidR="00084844">
        <w:trPr>
          <w:trHeight w:val="98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Diagnostyka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Panel LCD umieszczony na froncie obudowy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umożliwiający wyświetlenie informacji o stanie procesora, pamięci, dysków,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BIOS’u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zasilaniu oraz temperaturze.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Karta Zarządzania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pStyle w:val="Akapitzlist"/>
              <w:numPr>
                <w:ilvl w:val="0"/>
                <w:numId w:val="8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Niezależna od zainstalowanego na serwerze systemu operacyjnego posiadająca dedykowany port Gigabit Ethernet RJ-45 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umożliwiająca: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zdalny dostęp do graficznego interfejsu Web karty zarządzającej;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zdalne monitorowanie i informowanie o statusie serwera (m.in. prędkości obrotowej wentylatorów, konfiguracji serwera);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szyfrowane połączenie (TLS) oraz autentykacje i autoryzac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ję użytkownika;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podmontowania zdalnych wirtualnych napędów;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wirtualną konsolę z dostępem do myszy, klawiatury;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wsparcie dla IPv6;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wsparcie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dla WSMAN (Web Service for Management); SNMP; IPMI2.0, SSH, Redfish;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możliwość zdalnego monitorowania 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czasie rzeczywistym poboru prądu przez serwer;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zdalnego ustawienia limitu poboru prądu przez konkretny serwer;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integracja z Active Directory;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obsługi przez dwóch administratorów jednocześnie;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wysyłanie do administratora maila z powiadom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ieniem o awarii lub zmianie konfiguracji sprzętowej.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bezpośredniego zarządzania poprzez dedykowany port USB na przednim panelu serwera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zarządzania do 100 serwerów bezpośrednio z konsoli karty zarządzającej pojedynczego serwera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Wirtualny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schowek ułatwiający korzystanie z konsoli zdalnej</w:t>
            </w:r>
          </w:p>
          <w:p w:rsidR="00084844" w:rsidRDefault="004B3C51">
            <w:pPr>
              <w:spacing w:line="252" w:lineRule="auto"/>
              <w:ind w:left="10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oraz z możliwością rozszerzenia funkcjonalności o: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Przesyłanie danych telemetrycznych w czasie rzeczywistym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Dostosowanie zarządzania temperaturą i przepływem powietrza w serwerze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Automatyczna rejestracja 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ertyfikatów (ACE)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Wsparcie dla serwerów, urządzeń sieciowych oraz pamięci masowych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integracja z Active Directory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zarządzania dostarczonymi serwerami bez udziału dedykowanego agenta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Wsparcie dla protokołów SNMP, IPMI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Linux SSH,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Redfish</w:t>
            </w:r>
            <w:proofErr w:type="spellEnd"/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uruchamiania procesu wykrywania urządzeń w oparciu o harmonogram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Szczegółowy opis wykrytych systemów oraz ich komponentów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eksportu raportu do CSV, HTML, XLS, PDF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Możliwość tworzenia własnych raportów w oparciu 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wszystkie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informacje zawarte w inwentarzu.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Grupowanie urządzeń w oparciu o kryteria użytkownika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pozost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ałego czasu gwarancji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uruchamiania narzędzi zarządzających w poszczególnych urządzeniach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Szybki podgląd stanu środowiska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Podsumowanie stanu dla każdego urządzenia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Szczegółowy status urządzenia/elementu/komponentu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Generowanie alertów przy zmianie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stanu urządzenia.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Filtry raportów umożliwiające podgląd najważniejszych zdarzeń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Integracja z service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desk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producenta dostarczonej platformy sprzętowej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przejęcia zdalnego pulpitu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podmontowania wirtualnego napędu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Kreator umożliwiający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dostosowanie akcji dla wybranych alertów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importu plików MIB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Przesyłanie alertów „as-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” do innych konsol firm trzecich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definiowania ról administratorów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zdalnej aktualizacji oprogramowania wewnętrznego serwerów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Aktualizacja opa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rta o wybranie źródła bibliotek (lokalna, on-line producenta oferowanego rozwiązania)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instalacji oprogramowania wewnętrznego bez potrzeby instalacji agenta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automatycznego generowania i zgłaszania incydentów awarii bezpośrednio do centru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 serwisowego producenta serwerów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szynach wirtualnych, aktualne informacje o stanie i poziomie gwarancji, adresy IP kart sieciowych, występujących alertów, MAC adresów kart sieciowych, stanie poszczególnych komponentów serwera.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tworzenia sprzętowej konfiguracji bazowej i na jej 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odstawie weryfikacji środowiska w celu wykrycia rozbieżności.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Wdrażanie serwerów, rozwiązań modularnych oraz przełączników sieciowych w oparciu o profile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migracji ustawień serwera wraz z wirtualnymi adresami sieciowymi (MAC, WWN, IQN) między urzą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dzeniami.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Tworzenie gotowych paczek informacji umożliwiających zdiagnozowanie awarii urządzenia przez serwis producenta.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Zdalne uruchamianie diagnostyki serwera.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Dedykowana aplikacja na urządzenia mobilne integrująca się z wyżej opisanymi oprogramowaniem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zarządzającym.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Oprogramowanie dostarczane jako wirtualny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appliance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dla KVM,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ESXi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Hyper-V.</w:t>
            </w:r>
          </w:p>
        </w:tc>
      </w:tr>
      <w:tr w:rsidR="00084844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Certyfikaty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widowControl/>
              <w:numPr>
                <w:ilvl w:val="0"/>
                <w:numId w:val="9"/>
              </w:numPr>
              <w:spacing w:after="160" w:line="252" w:lineRule="auto"/>
              <w:contextualSpacing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Serwer musi być wyprodukowany zgodnie z normą ISO-9001:2015, ISO-50001 oraz ISO-14001</w:t>
            </w:r>
          </w:p>
          <w:p w:rsidR="00084844" w:rsidRDefault="004B3C51">
            <w:pPr>
              <w:widowControl/>
              <w:numPr>
                <w:ilvl w:val="0"/>
                <w:numId w:val="9"/>
              </w:numPr>
              <w:spacing w:after="160" w:line="252" w:lineRule="auto"/>
              <w:contextualSpacing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Serwer musi posiadać deklarację CE.</w:t>
            </w:r>
          </w:p>
          <w:p w:rsidR="00084844" w:rsidRDefault="004B3C51">
            <w:pPr>
              <w:widowControl/>
              <w:numPr>
                <w:ilvl w:val="0"/>
                <w:numId w:val="9"/>
              </w:numPr>
              <w:spacing w:after="160" w:line="252" w:lineRule="auto"/>
              <w:contextualSpacing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Oferowany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serwer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musi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znajdow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ać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się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na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liście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Windows Server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Catalog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posiadać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status „Certified for Windows” dla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systemów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Microsoft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lastRenderedPageBreak/>
              <w:t>Windows Server 2019, Microsoft Windows Server 2022, Microsoft Windows Server 2025</w:t>
            </w:r>
          </w:p>
          <w:p w:rsidR="00084844" w:rsidRDefault="004B3C51">
            <w:pPr>
              <w:widowControl/>
              <w:numPr>
                <w:ilvl w:val="0"/>
                <w:numId w:val="9"/>
              </w:numPr>
              <w:spacing w:after="160" w:line="252" w:lineRule="auto"/>
              <w:contextualSpacing/>
              <w:textAlignment w:val="auto"/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Wsparcie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dla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ESXi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8.</w:t>
            </w:r>
          </w:p>
        </w:tc>
      </w:tr>
      <w:tr w:rsidR="00084844">
        <w:trPr>
          <w:trHeight w:val="53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Warunki gwarancji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Gwarancji producenta: 5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Możliwość rozszerzenia gwarancji przez producenta do 7 lat.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możliwości zgłaszania zdarzeń serwisowych w trybie 24/7/365 następującymi kanałami: telefonicznie oraz przez Internet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rozpoczęcia diagnostyki telefoniczne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 / internetowej już w momencie dokonania zgłoszenia. Certyfikowany Technik wykonawcy / producenta z właściwym zestawem części do naprawy (potwierdzonym na etapie diagnostyki) ma rozpocząć naprawę w siedzibie zamawiającego najpóźniej w następnym dniu roboc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zym (NBD) od otrzymania zgłoszenia / zakończenia diagnostyki. Naprawa ma się odbywać w siedzibie zamawiającego, chyba, że zamawiający dla danej naprawy zgodzi się na inną formę.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bezpośredniego dostępu do wykwalifikowanej kadry inżynier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ów technicznych a w przypadku konieczności eskalacji zgłoszenia serwisowego wyznaczonego Kierownika Eskalacji po stronie wykonawcy.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wymaga pojedynczego punktu kontaktu dla całego rozwiązania producenta, w tym także sprzedanego oprogramowania.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Zgłoszenie przyjęte jest potwierdzane przez zespół pomocy technicznej (mail/telefon/portal) przez nadanie unikalnego numeru zgłoszenia pozwalającego na identyfikację zgłoszenia w trakcie realizacji naprawy i po jej zakończeniu.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możliwo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ści samodzielnego kwalifikowania poziomu ważności naprawy.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Możliwość sprawdzenia statusu gwarancji poprzez stronę producenta podając unikatowy numer urządzenia oraz pobieranie uaktualnień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mikrokodu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oraz sterowników nawet w przypadku wygaśnięcia gwarancji 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erwera.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nieodpłatnego udostępnienia narzędzi serwisowych i procesów wsparcia umożliwiających: Wykrywanie usterek sprzętowych z predykcją awarii.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Możliwość automatycznej diagnostyki i zdalne otwieranie zgłoszeń serwisowych.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Firma serwis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ująca musi posiadać ISO 9001:2015 oraz ISO-27001 na świadczenie usług serwisowych oraz posiadać autoryzacje producenta urządzeń – dokumenty potwierdzające należy załączyć do oferty.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Wymagane dołączenie do oferty oświadczenia Producenta potwierdzając, że Se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rwis urządzeń będzie realizowany bezpośrednio przez Producenta i/lub we współpracy z Autoryzowanym Partnerem Serwisowym Producenta.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Wymagane dołączenie do oferty oświadczenia Producenta potwierdzające, że serwer pochodzi z autoryzowanego kanału dystrybucji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producenta.</w:t>
            </w:r>
          </w:p>
          <w:p w:rsidR="00084844" w:rsidRDefault="004B3C51">
            <w:pPr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rozszerzenia gwarancji o: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Wyznaczonego przez wykonawcę Opiekuna Technicznego Klienta, do którego obowiązków będzie należało:</w:t>
            </w:r>
          </w:p>
          <w:p w:rsidR="00084844" w:rsidRDefault="004B3C51">
            <w:pPr>
              <w:pStyle w:val="Akapitzlist"/>
              <w:numPr>
                <w:ilvl w:val="1"/>
                <w:numId w:val="9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Monitorowanie zdarzeń w obrębie infrastruktury</w:t>
            </w:r>
          </w:p>
          <w:p w:rsidR="00084844" w:rsidRDefault="004B3C51">
            <w:pPr>
              <w:pStyle w:val="Akapitzlist"/>
              <w:numPr>
                <w:ilvl w:val="1"/>
                <w:numId w:val="9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Zarządzanie eskalacjami i współpraca z kierownikiem eskalacji</w:t>
            </w:r>
          </w:p>
          <w:p w:rsidR="00084844" w:rsidRDefault="004B3C51">
            <w:pPr>
              <w:pStyle w:val="Akapitzlist"/>
              <w:numPr>
                <w:ilvl w:val="0"/>
                <w:numId w:val="9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Przygotowywanie kwartalnych zaleceń dotyczące konserwacji infrastruktury sprzętowej (BIOS,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firmware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patche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084844" w:rsidRDefault="004B3C5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Raportowanie realizacji kontraktów serwisowych i wykorzystania zasobów sprzętowych (na żądanie)</w:t>
            </w:r>
          </w:p>
        </w:tc>
      </w:tr>
      <w:tr w:rsidR="00084844">
        <w:trPr>
          <w:trHeight w:val="23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Dokumentacja użytkownika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Zamawiający wymaga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dokumentacji w języku polskim lub angi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lskim.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</w:tbl>
    <w:p w:rsidR="00084844" w:rsidRDefault="00084844">
      <w:pPr>
        <w:rPr>
          <w:rFonts w:ascii="Times New Roman" w:hAnsi="Times New Roman" w:cs="Times New Roman"/>
          <w:sz w:val="22"/>
          <w:szCs w:val="22"/>
        </w:rPr>
      </w:pPr>
    </w:p>
    <w:p w:rsidR="00084844" w:rsidRDefault="004B3C51">
      <w:pPr>
        <w:pStyle w:val="Nagwek2"/>
        <w:widowControl/>
        <w:numPr>
          <w:ilvl w:val="0"/>
          <w:numId w:val="17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3" w:name="_Toc190718146"/>
      <w:r>
        <w:rPr>
          <w:rFonts w:ascii="Times New Roman" w:hAnsi="Times New Roman" w:cs="Times New Roman"/>
          <w:b/>
          <w:color w:val="auto"/>
        </w:rPr>
        <w:t>Macierz dyskowa</w:t>
      </w:r>
      <w:bookmarkEnd w:id="3"/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8564"/>
      </w:tblGrid>
      <w:tr w:rsidR="00084844">
        <w:trPr>
          <w:trHeight w:val="709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8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Szczegółowy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pl-PL"/>
              </w:rPr>
              <w:t>opis wymagań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umożliwiać instalację w standardowej szafie RACK 19”.</w:t>
            </w:r>
          </w:p>
        </w:tc>
      </w:tr>
      <w:tr w:rsidR="00084844">
        <w:trPr>
          <w:trHeight w:val="159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mieć możliwość instalacji kombinacji poniższych nośników dyskowych w ramach jednej obudowy podstawowej (zawierającej kontrolery):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br/>
              <w:t xml:space="preserve">- Flash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lub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SSD, gdzie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Flash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oznacza dyski autorskie dostawców macierzy wykorzystujące protokół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br/>
              <w:t>- SCM (Storage Class Memory)</w:t>
            </w:r>
          </w:p>
          <w:p w:rsidR="00084844" w:rsidRDefault="0008484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Możliwość podłączenia półek dyskowych dla dysków SSD/SAS/NL-SAS.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Możliwość zainstalowania co najmniej 12 dysków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o rozmiarze 2,5”.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Kontrolery macierzowe muszą komunikować się z nośnikami dyskowymi umieszczonymi w obudowie podstawowej (zawierającej kontrolery) wyłącznie z użyciem protokołu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być zbudowana z minimum dwóch kontrolerów pracujących w trybie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active-active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lub dual-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active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Architektura macierzy ma być oparta o sprawdzone i powszechnie dostępne procesory technologii x86/x64. Nie dopuszcza się procesorów typu ARM.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Wszystkie krytyczne komponenty macierzy takie jak: kontrolery dyskowe, pamięć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cache, zasilacze i wentylatory muszą być zdublowane tak, aby awaria pojedynczego elementu nie wpływała na funkcjonowanie całego systemu. Komponenty te muszą być wymienialne w trakcie pracy macierzy.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cechować brak pojedynczego punktu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awarii.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Wsparcie dla zasilania z dwóch niezależnych źródeł prądu poprzez nadmiarowe zasilacze typu Hot-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Swap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 Wentylatory typu Hot-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Swap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być odporna na zaniki napięcia, tzn. chwilowy zanik napięcia nie powinien przerywać pracy macierzy.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umożliwiać zarządzanie za pomocą interfejsu Ethernet. Możliwość zarządzania całością dostępnych zasobów dyskowych z jednej konsoli administracyjnej.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Funkcjonalność bezpośredniego monitoringu stanu w jakim w danym momencie macierz się 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najduje.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Urządzenie musi składać się z pojedynczej macierzy dyskowej zarządzanej z jednego wbudowanego w macierz interfejsu GUI (interfejs graficzny), CLI (interfejs tekstowy) oraz zapewniać możliwość tworzenia skryptów użytkownika. Interfejs ten musi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być natywnie dostępny na macierzy, bez zastosowania zewnętrznych urządzeń.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Wymagane jest niemniej niż 4 x FC 32Gb/s per kontroler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Całkowita pojemność użytkowa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min. 51.5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Tib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(użyteczne przy założeniu konfiguracji odpornej na awarię minimum 2 dy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sków (typu RAID-6 lub równoważnego) , z uwzględnieniem przestrzeni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spare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o wielkości 1 dysku oraz bez uwzględnienia technik redukcji danych takich jak kompresja,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deduplikacja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czy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thin-provisioning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). Przestrzeń musi być zbudowana wyłącznie w oparciu o nośni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Flash lub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SSD. Przestrzeń musi być zbudowana w oparciu o nośniki o pojemności max. 10TB.</w:t>
            </w:r>
          </w:p>
          <w:p w:rsidR="00084844" w:rsidRDefault="00084844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Całkowita pojemność użytkowa NL-SAS min. 535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Tib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(użyteczne przy założeniu konfiguracji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lastRenderedPageBreak/>
              <w:t>odpornej na awarię minimum 2 dysków (typu RAID-6 lub równoważnego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) , z uwzględnieniem przestrzeni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spare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o wielkości 1 dysku oraz bez uwzględnienia technik redukcji danych takich jak kompresja,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deduplikacja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czy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thin-provisioning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). Przestrzeń musi być zbudowana wyłącznie w oparciu o nośniki NL-SAS 12Gb. Przestrzeń musi by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ć zbudowana w oparciu o nośniki o pojemności max. 20TB.</w:t>
            </w:r>
          </w:p>
        </w:tc>
      </w:tr>
      <w:tr w:rsidR="00084844">
        <w:trPr>
          <w:trHeight w:val="159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pozwalać na alokację 99% pojemności użytecznej bez spadku wydajności macierzy (brak zwiększonego czasu odpowiedzi, brak spadku przepustowości macierzy). Wydajność macierzy musi być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niezależna od poziomu alokacji przestrzeni macierzy w zakresie od 0% alokacji do wartości wymaganej pojemności użytecznej. Opisana funkcjonalność musi być realizowana minimum dla dysków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 Jeżeli oferowane rozwiązanie nie spełnia opisanego wymagania nal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eży dostarczyć co najmniej 20% pojemności użytecznej więcej na nośnikach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obsługiwać poziomy: RAID6 (dystrybuowane) i zapewniać zabezpieczenie przed awarią dwóch dysków jednocześnie w ramach jednej grupy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raid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Dyski/przestrzeń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spare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" muszą zostać skonfigurowane/dostarczone w ilości/pojemności zgodnej z udokumentowanymi rekomendacjami producenta oferowanej macierzy.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Kontrolery macierzowe muszą posiadać możliwość szyfrowania danych, uniemożliwiając odczyt danych z usuniętych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z macierzy nośników dyskowych. Ta funkcjonalność nie jest wymagana na etapie tego postępowania.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 xml:space="preserve">Macierz musi mieć możliwość obsługi min. 200 dysków poprzez dodanie półek rozszerzeń. Macierz musi mieć możliwość rozbudowy poprzez dodanie pojedynczego </w:t>
            </w:r>
            <w: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</w:rPr>
              <w:t>dysku, dodanie kontrolerów oraz półek dyskowych.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Niezależnie od zastosowanych nośników danych, macierz musi umożliwiać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granularną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rozbudowę grupy RAID w zakresie od co najmniej od 1 do 12 nośników dyskowych, proces rozbudowy nie może powodować niedostę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pności do danych.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być wyposażona w minimum 2 kontrolery dyskowe z możliwością rozbudowy do 4 kontrolerów. Każdy z kontrolerów musi udostępniać co najmniej 256GB pamięci Cache.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umożliwiać rozbudowę pamięci cache do 1TB w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ramach klastra macierzy składającego się z identycznych kontrolerów i zarządzanego z jednego interfejsu GUI, CLI. Zamawiający nie dopuszcza zastosowania dysków SSD/ SSD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lub kart pamięci/modułów FLASH jako rozszerzenia pamięci cache.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Funkcjonalność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partycjonowania pamięci cache.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Funkcjonalność separacji przestrzeni dyskowych pomiędzy różnymi podłączonymi hostami.</w:t>
            </w:r>
          </w:p>
        </w:tc>
      </w:tr>
      <w:tr w:rsidR="00084844">
        <w:trPr>
          <w:trHeight w:val="33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Funkcjonalność dynamicznego zwiększania rozmiaru wolumenów.</w:t>
            </w:r>
          </w:p>
        </w:tc>
      </w:tr>
      <w:tr w:rsidR="00084844">
        <w:trPr>
          <w:trHeight w:val="91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Funkcjonalność zarządzania maksymalną ilością operacji wejścia /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wyjścia wykonywanych na danym wolumenie - zarządzanie musi być możliwe zarówno poprzez określenie ilości operacji I/O na sekundę jak również przepustowości określonej w MB/s.</w:t>
            </w:r>
          </w:p>
        </w:tc>
      </w:tr>
      <w:tr w:rsidR="00084844">
        <w:trPr>
          <w:trHeight w:val="127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mieć możliwość kompresji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deduplikacji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dla wszystkich rodzajów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dysków. Licencja na tą funkcjonalność musi być zawarta w cenie i musi obejmować zaoferowaną w ramach macierzy przestrzeń dyskową Wsparcie dla kompresji danych w trybie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inline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(„na bieżąco” bez potrzeby zapisywania danych na nośnikach danych w formie nie sk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ompresowanej) dla dostępu blokowego.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wspierać kompresję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deduplikację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w trybie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inline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".</w:t>
            </w:r>
          </w:p>
        </w:tc>
      </w:tr>
      <w:tr w:rsidR="00084844">
        <w:trPr>
          <w:trHeight w:val="190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Zaoferowane rozwiązanie musi posiadać możliwość implementacji klastra wysokiej dostępności. W ramach architektury klastra wysokiej dostępności mu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si być wspierane bezprzerwowe migrowanie maszyn wirtualnych pomiędzy ośrodkami. W przypadku awarii jednej z macierzy nastąpi bezprzerwowe przełączenie do lokalizacji zapasowej. Powyższa funkcjonalność musi być realizowana niezależnie od systemu operacyjneg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o na poziomie przełączania ścieżek do urządzenia logicznego. Licencja na tą funkcjonalność musi być zawarta w cenie i musi obejmować zaoferowaną w ramach macierzy przestrzeń dyskową.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lastRenderedPageBreak/>
              <w:t>31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optymalizować wykorzystanie dysków SSD/ modułów Flash/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HDD, tak aby w ramach tego samego rodzaju dysków (pojemności/prędkości) wszystkie grupy dysków były utylizowane w równym stopniu. Licencja na tą funkcjonalność musi być zawarta w cenie i musi obejmować całą oferowaną pojemność macierzy.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mi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eć możliwość rozłożenia wolumenu logicznego pomiędzy co najmniej dwoma różnymi typami macierzy dyskowych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umożliwiać stworzenie mirrorowanych LUN pomiędzy różnymi macierzami, dla których awaria jednej kopii lustra musi być niezauważalna dla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systemu hosta.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obsługiwać funkcjonalność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thin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provisioning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dla wszystkich wolumenów. Należy dostarczyć licencję umożliwiającą korzystanie z funkcji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thin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provisioning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na całą oferowaną pojemność macierzy.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Kopie danych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snapshot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mus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zą być tworzone w trybach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incremental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multitarget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, oraz kopii pełnej oraz kopii wskaźników. Licencja na tą funkcjonalność musi być zawarta w cenie i musi obejmować całą oferowaną pojemność macierzy.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posiadać możliwość tworzenia kopii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migawkowych w trybie WORM (Write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Once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Read Many). Kopie powinny być tworzone za pomocą harmonogramu i mieć możliwość ustawienia retencji kopii, po upłynięciu której kopia automatycznie zostanie usunięta z macierzy.</w:t>
            </w:r>
          </w:p>
        </w:tc>
      </w:tr>
      <w:tr w:rsidR="00084844">
        <w:trPr>
          <w:trHeight w:val="1590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mieć możliwość wykonywan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ia replikacji synchronicznej i asynchronicznej wolumenów logicznych pomiędzy różnymi typami macierzy dyskowych. Zasoby źródłowe kopii zdalnej oraz docelowe kopii zdalnej mogą być zabezpieczone różnymi poziomami RAID i egzystować na różnych technologicznie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dyskach stałych (SAS, SSD, SATA). Licencja na tą funkcjonalność musi być zawarta w cenie i musi obejmować zaoferowaną w ramach macierzy przestrzeń dyskową.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85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Macierz musi być nowa, nigdy wcześniej nie używana i pochodzić z autoryzowanego kanału dystrybuc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ji producenta a także być objęta serwisem producenta na terenie RP.</w:t>
            </w:r>
          </w:p>
        </w:tc>
      </w:tr>
      <w:tr w:rsidR="00084844">
        <w:trPr>
          <w:trHeight w:val="645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8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Wsparcie systemów operacyjnych Macierz musi być wspierana przez systemy operacyjne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wirtualizatory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: MS Windows Server 2019, 2022, 2025  Vmware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vSphere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8 i nowsze,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RedHat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Enterprise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Server 7.6 i nowsze</w:t>
            </w:r>
          </w:p>
        </w:tc>
      </w:tr>
      <w:tr w:rsidR="00084844">
        <w:trPr>
          <w:trHeight w:val="2220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Macierz musi zapewniać integrację z oferowanym oprogramowaniem kopii zapasowej na poziomie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umozliwiającym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 na pełną współprace w zakresie: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br/>
              <w:t>- backupu z migawek pamięci masowych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br/>
              <w:t>- eksplorator migawek pamięci masowych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br/>
              <w:t>- tworzenie wyizol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owanego środowiska z użyciem migawek pamięci masowych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br/>
              <w:t>Współpraca z zaoferowanym oprogramowaniem ma się odbywać bez konieczności instalacji dodatkowych modułów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pluginów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).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8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Wymagana jest gwarancja świadczona w trybie 24 godziny przez 7 dni w tygodniu na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wszystkie elementy macierzy (sprzęt oraz oprogramowanie) na okres 60 miesięcy z gwarantowanym czasem naprawy w ciągu 24 godzin. Uszkodzony dysk po wymianie zostaje własnością Zamawiającego.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Usługi serwisowe będą świadczone przez producenta oferowanego sprz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ętu.</w:t>
            </w:r>
          </w:p>
        </w:tc>
      </w:tr>
      <w:tr w:rsidR="00084844">
        <w:trPr>
          <w:trHeight w:val="960"/>
        </w:trPr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42.</w:t>
            </w:r>
          </w:p>
        </w:tc>
        <w:tc>
          <w:tcPr>
            <w:tcW w:w="85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 raz z macierzą należy dostarczyć oprogramowanie do monitorowania macierzy blokowych, plikowych, obiektowych oraz hostów i przełączników SAN.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Oprogramowanie musi zapewniać przechowywanie trendów historycznych środowiska przez okres co najmniej 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65 dni.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Rozwiązanie posiada możliwość odpytywania danych telemetrycznych w celu uzyskania szczegółowych informacji w sekwencjach co najmniej 5-minutowych.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"Rozwiązanie musi pozwalać na monitorowanie następujących metryk dla macierzy dyskowych różnych produ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centów (co najmniej Dell EMC, Hitachi, IBM,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NetApp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Pure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):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ogólną aktywność i wydajność systemu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pojemość macierzy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najbardziej aktywne kontrolery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najbardziej aktywne wolumeny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najbardziej aktywne pule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szybkość operacji I/O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 xml:space="preserve">/s) per macierz, kontroler,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pula, wolumen.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przepustowość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MiB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/s) per macierz, kontroler, pula, wolumen.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czas odpowiedzi (ms/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op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) per macierz, kontroler, pula, wolumen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przepustowość i utylizacja portów/interfejsów macierzy</w:t>
            </w:r>
          </w:p>
          <w:p w:rsidR="00084844" w:rsidRDefault="004B3C5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utylizacja CPU macierzy (ogólna oraz per rdzeń)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Rozwiązanie mus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i pozwalać na tworzenie raportów na podstawie informacji zawartych w tabelach interfejsu użytkownika rozwiązania.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Możliwość tworzenia użytkowników oraz grup i przypisywanie im określonych ról i poziomów dostępu.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Wysyłanie alertów z rozwiązania do wewnętrzn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pl-PL"/>
              </w:rPr>
              <w:t>ego systemu powiadamiania.</w:t>
            </w:r>
          </w:p>
        </w:tc>
      </w:tr>
    </w:tbl>
    <w:p w:rsidR="00084844" w:rsidRDefault="00084844">
      <w:pPr>
        <w:rPr>
          <w:rFonts w:ascii="Times New Roman" w:eastAsiaTheme="majorEastAsia" w:hAnsi="Times New Roman" w:cs="Times New Roman"/>
          <w:color w:val="2E74B5" w:themeColor="accent1" w:themeShade="BF"/>
          <w:sz w:val="22"/>
          <w:szCs w:val="22"/>
        </w:rPr>
      </w:pPr>
    </w:p>
    <w:p w:rsidR="00084844" w:rsidRDefault="004B3C51">
      <w:pPr>
        <w:pStyle w:val="Nagwek2"/>
        <w:widowControl/>
        <w:numPr>
          <w:ilvl w:val="0"/>
          <w:numId w:val="17"/>
        </w:numPr>
        <w:spacing w:before="16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4" w:name="_Toc190718147"/>
      <w:r>
        <w:rPr>
          <w:rFonts w:ascii="Times New Roman" w:hAnsi="Times New Roman" w:cs="Times New Roman"/>
          <w:b/>
          <w:color w:val="auto"/>
        </w:rPr>
        <w:t xml:space="preserve">Oprogramowanie </w:t>
      </w:r>
      <w:bookmarkEnd w:id="4"/>
      <w:r>
        <w:rPr>
          <w:rFonts w:ascii="Times New Roman" w:hAnsi="Times New Roman" w:cs="Times New Roman"/>
          <w:b/>
          <w:color w:val="auto"/>
        </w:rPr>
        <w:t>serwerów</w:t>
      </w:r>
    </w:p>
    <w:p w:rsidR="00084844" w:rsidRDefault="004B3C5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dysponuje infrastrukturą opartą o systemy Microsoft Windows i serwery Active Directory i w związku z tym wymaga rozbudowy licencji o następujące:</w:t>
      </w:r>
    </w:p>
    <w:p w:rsidR="00084844" w:rsidRDefault="004B3C51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Licencje Windows Server 2025 Datacenter na 96</w:t>
      </w:r>
      <w:r>
        <w:rPr>
          <w:rFonts w:ascii="Times New Roman" w:hAnsi="Times New Roman" w:cs="Times New Roman"/>
          <w:sz w:val="22"/>
          <w:szCs w:val="22"/>
        </w:rPr>
        <w:t xml:space="preserve"> rdzeni dla oferowanych serwerów do wirtualizacji. Dopuszcza się dostarczenie licencji OEM wraz z serwerem.</w:t>
      </w:r>
    </w:p>
    <w:p w:rsidR="00084844" w:rsidRDefault="004B3C51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95 licencji Windows Server 2025 CAL na użytkownika. Dopuszcza się dostarczenie licencji OEM wraz z serwerem.</w:t>
      </w:r>
    </w:p>
    <w:p w:rsidR="00084844" w:rsidRDefault="004B3C51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 licencji Windows Server 2025 RDS CAL</w:t>
      </w:r>
      <w:r>
        <w:rPr>
          <w:rFonts w:ascii="Times New Roman" w:hAnsi="Times New Roman" w:cs="Times New Roman"/>
          <w:sz w:val="22"/>
          <w:szCs w:val="22"/>
        </w:rPr>
        <w:t xml:space="preserve"> na użytkownika. Dopuszcza się dostarczenie licencji OEM wraz z serwerem.</w:t>
      </w:r>
    </w:p>
    <w:p w:rsidR="00084844" w:rsidRDefault="00084844">
      <w:pPr>
        <w:rPr>
          <w:rFonts w:ascii="Times New Roman" w:eastAsiaTheme="majorEastAsia" w:hAnsi="Times New Roman" w:cs="Times New Roman"/>
          <w:color w:val="2E74B5" w:themeColor="accent1" w:themeShade="BF"/>
          <w:sz w:val="22"/>
          <w:szCs w:val="22"/>
        </w:rPr>
      </w:pPr>
    </w:p>
    <w:p w:rsidR="00084844" w:rsidRDefault="004B3C51">
      <w:pPr>
        <w:pStyle w:val="Nagwek2"/>
        <w:widowControl/>
        <w:numPr>
          <w:ilvl w:val="0"/>
          <w:numId w:val="16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5" w:name="_Toc190718148"/>
      <w:r>
        <w:rPr>
          <w:rFonts w:ascii="Times New Roman" w:hAnsi="Times New Roman" w:cs="Times New Roman"/>
          <w:b/>
          <w:color w:val="auto"/>
        </w:rPr>
        <w:t>Biblioteka taśmowa</w:t>
      </w:r>
      <w:bookmarkEnd w:id="5"/>
    </w:p>
    <w:tbl>
      <w:tblPr>
        <w:tblW w:w="9067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60"/>
        <w:gridCol w:w="7507"/>
      </w:tblGrid>
      <w:tr w:rsidR="00084844">
        <w:trPr>
          <w:trHeight w:val="399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Charakterystyka (wymagania minimalne)</w:t>
            </w:r>
          </w:p>
        </w:tc>
      </w:tr>
      <w:tr w:rsidR="00084844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Obudowa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Do zamontowania w szafie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maksymalnie 3U, wbudowany czytnik kodów kreskowych, redundantne zasilanie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raz z kablami zasilającymi, szyny RACK.</w:t>
            </w:r>
          </w:p>
        </w:tc>
      </w:tr>
      <w:tr w:rsidR="00084844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Napęd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1x LTO9 z możliwością rozbudowy biblioteki taśmowej do min. 48 napędów LTO.</w:t>
            </w:r>
          </w:p>
        </w:tc>
      </w:tr>
      <w:tr w:rsidR="00084844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Interfejs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FC</w:t>
            </w:r>
          </w:p>
        </w:tc>
      </w:tr>
      <w:tr w:rsidR="00084844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Liczba slotów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40 w tym minimum pięć slotów we/wy, jeżeli licencjonowana jest liczba slotów - wymagane aktywowanie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wszystkich slotów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komplecie min.:</w:t>
            </w:r>
          </w:p>
          <w:p w:rsidR="00084844" w:rsidRDefault="004B3C51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taśma czyszcząca</w:t>
            </w:r>
          </w:p>
          <w:p w:rsidR="00084844" w:rsidRDefault="004B3C51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 taśm LTO8</w:t>
            </w:r>
          </w:p>
          <w:p w:rsidR="00084844" w:rsidRDefault="004B3C51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Etykiety do taśm LT09 o numerach 1-200</w:t>
            </w:r>
          </w:p>
        </w:tc>
      </w:tr>
      <w:tr w:rsidR="00084844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Dodatkowe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widowControl/>
              <w:numPr>
                <w:ilvl w:val="0"/>
                <w:numId w:val="11"/>
              </w:numPr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interfejs do zarządzania poprzez przeglądarkę WWW oraz możliwość zarządzania bezpośrednio z użyciem wbudowanych klawiszy i wyświetlacza LC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</w:t>
            </w:r>
          </w:p>
          <w:p w:rsidR="00084844" w:rsidRDefault="004B3C51">
            <w:pPr>
              <w:widowControl/>
              <w:numPr>
                <w:ilvl w:val="0"/>
                <w:numId w:val="11"/>
              </w:numPr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wyjmowane magazynki kieszeni na taśmy w celu łatwego zarządzania większą ilością taśm</w:t>
            </w:r>
          </w:p>
          <w:p w:rsidR="00084844" w:rsidRDefault="004B3C51">
            <w:pPr>
              <w:widowControl/>
              <w:numPr>
                <w:ilvl w:val="0"/>
                <w:numId w:val="11"/>
              </w:numPr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wsparcie dla nośników LTO WORM (Write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Once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Read Many), umożliwiających spełnienie norm prawnych dotyczących odpowiednio długiego przechowywania nienaruszonych danych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archiwizacja)</w:t>
            </w:r>
          </w:p>
          <w:p w:rsidR="00084844" w:rsidRDefault="004B3C51">
            <w:pPr>
              <w:widowControl/>
              <w:numPr>
                <w:ilvl w:val="0"/>
                <w:numId w:val="11"/>
              </w:numPr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Obsługa SNMP, TLS1.2 oraz IP6</w:t>
            </w:r>
          </w:p>
          <w:p w:rsidR="00084844" w:rsidRDefault="004B3C51">
            <w:pPr>
              <w:widowControl/>
              <w:numPr>
                <w:ilvl w:val="0"/>
                <w:numId w:val="11"/>
              </w:numPr>
              <w:textAlignment w:val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Wsparcie dla technologii szyfrowania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backupowanych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danych.</w:t>
            </w:r>
          </w:p>
        </w:tc>
      </w:tr>
      <w:tr w:rsidR="00084844">
        <w:trPr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Warunki gwarancji dla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autoloadera</w:t>
            </w:r>
            <w:proofErr w:type="spellEnd"/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 gwarancji producenta realizowanej w miejscu instalacji sprzętu, z czasem reakcji do następnego dnia roboczego od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przyjęcia zgłoszenia, możliwość zgłaszania awarii 24x7x365 poprzez ogólnopolską linię telefoniczną producenta.</w:t>
            </w:r>
          </w:p>
          <w:p w:rsidR="00084844" w:rsidRDefault="004B3C51">
            <w:pPr>
              <w:widowControl/>
              <w:numPr>
                <w:ilvl w:val="0"/>
                <w:numId w:val="20"/>
              </w:numPr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Dostawca ponosi koszty napraw gwarancyjnych, włączając w to koszt części i transportu.</w:t>
            </w:r>
          </w:p>
          <w:p w:rsidR="00084844" w:rsidRDefault="004B3C51">
            <w:pPr>
              <w:widowControl/>
              <w:numPr>
                <w:ilvl w:val="0"/>
                <w:numId w:val="20"/>
              </w:numPr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W czasie obowiązywania gwarancji dostawca zobowiązany jes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 do udostępnienia Zamawiającemu nowych wersji BIOS,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firmware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sterowników (na płytach CD lub stronach internetowych).</w:t>
            </w:r>
          </w:p>
          <w:p w:rsidR="00084844" w:rsidRDefault="004B3C51">
            <w:pPr>
              <w:widowControl/>
              <w:numPr>
                <w:ilvl w:val="0"/>
                <w:numId w:val="20"/>
              </w:numPr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Firma serwisująca musi posiadać ISO 9001:2008 na świadczenie usług serwisowych oraz posiadać autoryzacje producenta serwera – dokumenty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potwierdzające załączyć do oferty.</w:t>
            </w:r>
          </w:p>
          <w:p w:rsidR="00084844" w:rsidRDefault="004B3C51">
            <w:pPr>
              <w:widowControl/>
              <w:numPr>
                <w:ilvl w:val="0"/>
                <w:numId w:val="20"/>
              </w:numPr>
              <w:textAlignment w:val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Oświadczenie producenta biblioteki, że w przypadku niewywiązywania się z obowiązków gwarancyjnych oferenta lub firmy serwisującej, przejmie na siebie wszelkie zobowiązania związane z serwisem.</w:t>
            </w:r>
            <w:bookmarkStart w:id="6" w:name="_Hlk105060834"/>
            <w:bookmarkEnd w:id="6"/>
          </w:p>
        </w:tc>
      </w:tr>
    </w:tbl>
    <w:p w:rsidR="00084844" w:rsidRDefault="00084844">
      <w:pPr>
        <w:rPr>
          <w:rFonts w:ascii="Times New Roman" w:hAnsi="Times New Roman" w:cs="Times New Roman"/>
          <w:sz w:val="22"/>
          <w:szCs w:val="22"/>
        </w:rPr>
      </w:pPr>
    </w:p>
    <w:p w:rsidR="00084844" w:rsidRDefault="00084844">
      <w:pPr>
        <w:rPr>
          <w:rFonts w:ascii="Times New Roman" w:hAnsi="Times New Roman" w:cs="Times New Roman"/>
          <w:sz w:val="22"/>
          <w:szCs w:val="22"/>
        </w:rPr>
      </w:pPr>
    </w:p>
    <w:p w:rsidR="00084844" w:rsidRDefault="004B3C51">
      <w:pPr>
        <w:pStyle w:val="Nagwek2"/>
        <w:widowControl/>
        <w:numPr>
          <w:ilvl w:val="0"/>
          <w:numId w:val="16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7" w:name="_Toc190718149"/>
      <w:r>
        <w:rPr>
          <w:rFonts w:ascii="Times New Roman" w:hAnsi="Times New Roman" w:cs="Times New Roman"/>
          <w:b/>
          <w:color w:val="auto"/>
        </w:rPr>
        <w:t>Serwer kopii zapasowej</w:t>
      </w:r>
      <w:bookmarkEnd w:id="7"/>
    </w:p>
    <w:tbl>
      <w:tblPr>
        <w:tblW w:w="8925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7190"/>
      </w:tblGrid>
      <w:tr w:rsidR="00084844">
        <w:trPr>
          <w:trHeight w:val="441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Pa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rametr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Charakterystyka (wymagania minimalne)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Obudowa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Obudowa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 wysokości max 2U z możliwością instalacji min. 12 dysków 3,5" Hot-Plug oraz 2 dysków 2,5” Hot-Plug wraz z kompletem wysuwanych szyn umożliwiających montaż w szafie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 wysuwanie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serwera do celów serwisowych oraz organizatorem do kabli.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Obudowa z możliwością wyposażenia w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kartę umożliwiającą dostęp bezpośredni poprzez urządzenia mobilne - serwer musi posiadać możliwość konfiguracji oraz monitoringu najważniejszych komponentów serwe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 przy użyciu dedykowanej aplikacji mobilnej min. (Android/ Apple iOS) przy użyciu jednego z protokołów BLE/ WIFI.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Płyta główna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Płyta główna z możliwością zainstalowania minimum jednego procesora. Płyta główna musi być zaprojektowana przez producenta ser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wera i oznaczona jego znakiem firmowym.</w:t>
            </w:r>
          </w:p>
        </w:tc>
      </w:tr>
      <w:tr w:rsidR="00084844">
        <w:trPr>
          <w:trHeight w:val="383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Chipset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Dedykowany przez producenta procesora do pracy w serwerach jednoprocesorowych</w:t>
            </w:r>
          </w:p>
        </w:tc>
      </w:tr>
      <w:tr w:rsidR="00084844">
        <w:trPr>
          <w:trHeight w:val="710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Procesor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Zainstalowany jeden procesor, min. 16-rdzeniowy, min. 3.0GHz, klasy x86 dedykowany do pracy z zaoferowanym serwerem umożliwiający osiągnięcie wyniku min. 177 w teście SPECrate2017_int_base w konfiguracji jedno procesorowej dla oferowanego serwera, dostępny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 na stronie </w:t>
            </w:r>
            <w:hyperlink r:id="rId5">
              <w:r>
                <w:rPr>
                  <w:rStyle w:val="Hipercze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>www.spec.org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obsługi procesorów 128 rdzeniowych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RAM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Minimum 64GB DDR5 RDIMM 5600MT/s, na płycie głównej powinno znajdować się minimum 12 slotów przeznaczonych do instalacji pamięci. Płyta głó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wna powinna obsługiwać do min. 3TB pamięci RAM.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Zabezpieczenia pamięci RAM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Patrol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Scrubbing</w:t>
            </w:r>
            <w:proofErr w:type="spellEnd"/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Gniazda PCI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Minimum 6 slotów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, z czego przynajmniej 2 x16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Interfejsy sieciowe/FC/SAS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Wbudowane min. 2 interfejsy sieciowe 1Gb Ethernet w standardzie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BaseT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oraz 4 interfejsy sieciowe 10/25Gb Ethernet w standardzie SFP28 (porty nie mogą być osiągnięte poprzez karty w slotach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:rsidR="00084844" w:rsidRDefault="004B3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Interfejsy SFP28 muszą być wyposażone we wkładki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jednomodowe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10Gb SFP+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Dodatkowa, dwuportowa karta 32GB FC wraz z wkładkami SW o na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tywnej prędkości portów.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Dodatkowa, dwuportowa karta 64GB FC wraz z wkładkami SW o natywnej prędkości portów.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Dyski twarde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Zainstalowane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:</w:t>
            </w:r>
          </w:p>
          <w:p w:rsidR="00084844" w:rsidRDefault="004B3C51">
            <w:pPr>
              <w:pStyle w:val="Akapitzlist"/>
              <w:numPr>
                <w:ilvl w:val="0"/>
                <w:numId w:val="10"/>
              </w:num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dysków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SAS 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pojemności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min. 12TB, 12Gbps, Hot-Plug.</w:t>
            </w:r>
          </w:p>
          <w:p w:rsidR="00084844" w:rsidRDefault="004B3C51">
            <w:pPr>
              <w:pStyle w:val="Akapitzlist"/>
              <w:numPr>
                <w:ilvl w:val="0"/>
                <w:numId w:val="10"/>
              </w:num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dyski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SSD SATA RI 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pojemności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min. 960GB, Hot-Plug.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Możliwość zainstalowania dwóch dysków M.2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NVMe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SSDs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 pojemności min. 960GB Hot-Plug z możliwością konfiguracji RAID 1.</w:t>
            </w:r>
          </w:p>
        </w:tc>
      </w:tr>
      <w:tr w:rsidR="00084844">
        <w:trPr>
          <w:trHeight w:val="512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Kontroler RAID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Sprzętowy kontroler dyskowy, posiadający min. 8GB nieulotnej pamięci cache, możliwe konfiguracje poziomów RAID: 0, 1, 5,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6, 10, 50, 60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lastRenderedPageBreak/>
              <w:t>Wbudowane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porty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3x USB w tym przynajmniej 1x USB 3.0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1x port VGA na przednim panelu obudowy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 rozbudowy o port RS232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Diagnostyka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Panel LCD umieszczony na froncie obudowy, umożliwiający wyświetlenie informacji o stanie procesora,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pamięci, dysków,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BIOS’u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zasilaniu oraz temperaturze.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Video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Zintegrowana karta graficzna umożliwiająca wyświetlenie rozdzielczości min. 1920x1080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System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operacyjny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dodatkowe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oprogramowanie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Windows Server 2025 Standard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16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rdzeni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Wentylatory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Redunda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ntne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Zasilacze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Redundantne, Hot-Plug min. 1100W każdy wraz z kablami zasilającymi o długości min. 2m.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Zatrzask górnej pokrywy oraz blokada na ramce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panela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zamykana na klucz służąca do ochrony nieautoryzowanego dostępu do dysków twardych.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wyłączenia w BIOS funkcji przycisku zasilania.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BIOS ma możliwość przejścia do bezpiecznego trybu rozruchowego z możliwością zarządzania blokadą zasilania, panelem sterowania oraz zmianą hasła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Wbudowany czujnik otwarcia obudowy współpracujący z BI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OS i kartą zarządzającą.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Moduł TPM 2.0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dynamicznego włączania i wyłączania portów USB na obudowie – bez potrzeby restartu serwera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wymazania danych ze znajdujących się dysków wewnątrz serwera – niezależne od zainstalowanego systemu opera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cyjnego, uruchamiane z poziomu zarządzania serwerem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Karta Zarządzania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Niezależna od zainstalowanego na serwerze systemu operacyjnego posiadająca dedykowany port Gigabit Ethernet RJ-45 i umożliwiająca: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zdalny dostęp do graficznego interfejsu Web karty zarz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ądzającej;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zdalne monitorowanie i informowanie o statusie serwera (np. prędkości obrotowej wentylatorów, konfiguracji serwera);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szyfrowane połączenie (TLS) oraz autentykacje i autoryzację użytkownika;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podmontowania zdalnych wirtualnych napędów;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wirtualną konsolę z dostępem do myszy, klawiatury;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wsparcie dla Ipv6;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wsparcie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dla WSMAN (Web Service for Management); SNMP; IPMI2.0, SSH, Redfish;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zdalnego monitorowania w czasie rzeczywistym poboru prądu przez serwer;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możliwość zdalnego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ustawienia limitu poboru prądu przez konkretny serwer;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integracja z Active Directory;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obsługi przez dwóch administratorów jednocześnie;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wysyłanie do administratora maila z powiadomieniem o awarii lub zmianie konfiguracji sprzętowej.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bez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pośredniego zarządzania poprzez dedykowany port USB na przednim panelu serwera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zarządzania do 100 serwerów bezpośrednio z konsoli karty zarządzającej pojedynczego serwera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zainstalowania oprogramowania prod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ucenta do zarządzania, spełniającego poniższe wymagania: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Wsparcie dla serwerów, urządzeń sieciowych oraz pamięci masowych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integracja z Active Directory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zarządzania dostarczonymi serwerami bez udziału dedykowanego agenta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Wsparcie dla protokołów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SNMP, IPMI, Linux SSH,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Redfish</w:t>
            </w:r>
            <w:proofErr w:type="spellEnd"/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uruchamiania procesu wykrywania urządzeń w oparciu o harmonogram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Szczegółowy opis wykrytych systemów oraz ich komponentów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eksportu raportu do CSV, HTML, XLS, PDF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tworzenia własnych raportów w opa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rciu o wszystkie informacje zawarte w inwentarzu.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Grupowanie urządzeń w oparciu o kryteria użytkownika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pozostałego czasu gwarancji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uruchamiania narzędzi zarządzających w poszczególnych urządzeniach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Szybki podgląd stanu środowiska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Podsumowanie stanu dla każdego urządzenia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Szczegółowy status urządzenia/elementu/komponentu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Generowanie alertów przy z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mianie stanu urządzenia.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Filtry raportów umożliwiające podgląd najważniejszych zdarzeń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Integracja z service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desk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producenta dostarczonej platformy sprzętowej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przejęcia zdalnego pulpitu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podmontowania wirtualnego napędu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Kreator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umożliwiający dostosowanie akcji dla wybranych alertów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importu plików MIB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Przesyłanie alertów „as-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” do innych konsol firm trzecich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definiowania ról administratorów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zdalnej aktualizacji oprogramowania wewnętrznego serwerów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Ak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tualizacja oparta o wybranie źródła bibliotek (lokalna, on-line producenta oferowanego rozwiązania)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instalacji oprogramowania wewnętrznego bez potrzeby instalacji agenta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automatycznego generowania i zgłaszania incydentów awarii bezpośre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dnio do centrum serwisowego producenta serwerów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Moduł raportujący pozwalający na wygenerowanie następujących informacji: nr seryjne sprzętu, konfiguracja poszczególnych urządzeń, wersje oprogramowania wewnętrznego, obsadzenie slotów PCI i gniazd pamięci,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informację o maszynach wirtualnych, aktualne informacje o stanie i poziomie gwarancji, adresy IP kart sieciowych, występujących alertów, MAC adresów kart sieciowych, stanie poszczególnych komponentów serwera.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Możliwość tworzenia sprzętowej konfiguracji baz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owej i na jej podstawie weryfikacji środowiska w celu wykrycia rozbieżności.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Wdrażanie serwerów, rozwiązań modularnych oraz przełączników sieciowych w oparciu o profile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migracji ustawień serwera wraz z wirtualnymi adresami sieciowymi (MAC, WWN, I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QN) między urządzeniami.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Tworzenie gotowych paczek informacji umożliwiających zdiagnozowanie awarii urządzenia przez serwis producenta.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Zdalne uruchamianie diagnostyki serwera.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Dedykowana aplikacja na urządzenia mobilne integrująca się z wyżej opisanymi op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rogramowaniem zarządzającym.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Oprogramowanie dostarczane jako wirtualny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appliance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dla KVM,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ESXi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 Hyper-V.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Certyfikaty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Serwer musi być wyprodukowany zgodnie z normą ISO-9001:2015, ISO-50001 oraz ISO-14001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Serwer musi posiadać deklarację CE.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Oferowany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serwer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musi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znajdować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się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liście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Windows Server Catalog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posiadać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status „Certified for Windows” dla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systemów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Microsoft Windows Server 2019, Microsoft Windows Server 2022, Microsoft Windows Server 2025.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Wsparcie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dla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ESXi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8.</w:t>
            </w:r>
          </w:p>
        </w:tc>
      </w:tr>
      <w:tr w:rsidR="00084844">
        <w:trPr>
          <w:trHeight w:val="980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Dokumentacja użytkownika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Zamawiający wymaga dokumentacji w języku polskim lub angi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lskim.</w:t>
            </w:r>
          </w:p>
          <w:p w:rsidR="00084844" w:rsidRDefault="004B3C5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084844">
        <w:trPr>
          <w:trHeight w:val="230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Warunki gwarancji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lat gwarancji producenta, z czasem reakcji do następnego dnia roboczego od przyjęcia zgłoszenia.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możliwości zgłaszania zdarzeń serwisowych w trybie 24/7/365 następującymi kanałami: telefonicznie, przez Internet oraz z wykorzystaniem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aplikacji.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Zgłoszenie przyjęte jest potwierdzane przez zespół pomocy technicznej (mail/telefon/portal) przez nadanie unikalnego numeru zgłoszenia pozwalającego na identyfikację zgłoszenia w trakcie realizacji naprawy i po jej zakończeniu.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Możliwość sprawd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zenia statusu gwarancji poprzez stronę producenta podając unikatowy numer urządzenia oraz pobieranie uaktualnień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mikrokodu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oraz sterowników nawet w przypadku wygaśnięcia gwarancji serwera.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nieodpłatnego udostępnienia narzędzi serwisowy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 i procesów wsparcia umożliwiających: Wykrywanie usterek sprzętowych z predykcją awarii.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Zamawiający wymaga od podmiotu realizującego serwis lub producenta sprzętu dołączenia do oferty oświadczenia, że w przypadku wystąpienia awarii dysku twardego w urzą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dzeniu objętym aktywnym wparciem technicznym, uszkodzony dysk twardy pozostaje u Zamawiającego.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Firma serwisująca musi posiadać ISO 9001:2015 oraz ISO-27001 na świadczenie usług serwisowych oraz posiadać autoryzacje producenta urządzeń – dokumenty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potwierdzające należy załączyć do oferty.</w:t>
            </w:r>
          </w:p>
        </w:tc>
      </w:tr>
    </w:tbl>
    <w:p w:rsidR="00084844" w:rsidRDefault="00084844">
      <w:pPr>
        <w:rPr>
          <w:rFonts w:ascii="Times New Roman" w:hAnsi="Times New Roman" w:cs="Times New Roman"/>
          <w:sz w:val="22"/>
          <w:szCs w:val="22"/>
        </w:rPr>
      </w:pPr>
    </w:p>
    <w:p w:rsidR="00084844" w:rsidRDefault="00084844">
      <w:pPr>
        <w:rPr>
          <w:rFonts w:ascii="Times New Roman" w:hAnsi="Times New Roman" w:cs="Times New Roman"/>
          <w:sz w:val="22"/>
          <w:szCs w:val="22"/>
        </w:rPr>
      </w:pPr>
    </w:p>
    <w:p w:rsidR="00084844" w:rsidRDefault="004B3C51">
      <w:pPr>
        <w:pStyle w:val="Nagwek2"/>
        <w:widowControl/>
        <w:numPr>
          <w:ilvl w:val="0"/>
          <w:numId w:val="16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8" w:name="_Toc190718150"/>
      <w:r>
        <w:rPr>
          <w:rFonts w:ascii="Times New Roman" w:hAnsi="Times New Roman" w:cs="Times New Roman"/>
          <w:b/>
          <w:color w:val="auto"/>
        </w:rPr>
        <w:t>Serwer repozytorium</w:t>
      </w:r>
      <w:bookmarkEnd w:id="8"/>
    </w:p>
    <w:tbl>
      <w:tblPr>
        <w:tblW w:w="8925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5"/>
        <w:gridCol w:w="7190"/>
      </w:tblGrid>
      <w:tr w:rsidR="00084844">
        <w:trPr>
          <w:trHeight w:val="473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Charakterystyka (wymagania minimalne)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Obudowa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Obudowa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 wysokości max 2U z możliwością instalacji min. 12 dysków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3,5" Hot-Plug oraz 2 dysków 2,5” Hot-Plug wraz z kompletem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wysuwanych szyn umożliwiających montaż w szafie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 wysuwanie serwera do celów serwisowych oraz organizatorem do kabli.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Obudowa z możliwością wyposażenia w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kartę umożliwiającą dostęp bezpośredni poprzez urządzenia mobilne - serwer musi posiadać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Płyta główna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Płyta główna z możliwością zainstalowania minimum jed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nego procesora. Płyta główna musi być zaprojektowana przez producenta serwera i oznaczona jego znakiem firmowym.</w:t>
            </w:r>
          </w:p>
        </w:tc>
      </w:tr>
      <w:tr w:rsidR="00084844">
        <w:trPr>
          <w:trHeight w:val="383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Chipset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Dedykowany przez producenta procesora do pracy w serwerach jednoprocesorowych</w:t>
            </w:r>
          </w:p>
        </w:tc>
      </w:tr>
      <w:tr w:rsidR="00084844">
        <w:trPr>
          <w:trHeight w:val="710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Procesor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Zainstalowany jeden procesor, min. 16-rdzeniow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y, min. 3.0GHz, klasy x86 dedykowany do pracy z zaoferowanym serwerem umożliwiający osiągnięcie wyniku min. 177 w teście SPECrate2017_int_base w konfiguracji jedno procesorowej dla oferowanego serwera, dostępnym na stronie </w:t>
            </w:r>
            <w:hyperlink r:id="rId6">
              <w:r>
                <w:rPr>
                  <w:rStyle w:val="Hipercze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>www.spec.org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obsługi procesorów 128 rdzeniowych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RAM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Minimum 32GB DDR5 RDIMM 5600MT/s, na płycie głównej powinno znajdować się minimum 12 slotów przeznaczonych do instalacji pamięci. Płyta główna powinna obsługiwać do min. 3TB pamięci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RAM.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Zabezpieczenia pamięci RAM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Patrol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Scrubbing</w:t>
            </w:r>
            <w:proofErr w:type="spellEnd"/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Gniazda PCI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Minimum 6 slotów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, z czego przynajmniej 2 x16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Interfejsy sieciowe/FC/SAS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Wbudowane min. 2 interfejsy sieciowe 1Gb Ethernet w standardzie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BaseT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oraz 4 interfejsy sieciowe 10/25Gb Ethernet w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standardzie SFP28 (porty nie mogą być osiągnięte poprzez karty w slotach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:rsidR="00084844" w:rsidRDefault="004B3C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Interfejsy SFP28 muszą być wyposażone we wkładki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jednomodowe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10Gb SFP+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Dyski twarde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Zainstalowane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:</w:t>
            </w:r>
          </w:p>
          <w:p w:rsidR="00084844" w:rsidRDefault="004B3C51">
            <w:pPr>
              <w:pStyle w:val="Akapitzlist"/>
              <w:numPr>
                <w:ilvl w:val="0"/>
                <w:numId w:val="10"/>
              </w:num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dysków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SAS 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pojemności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min. 12TB, 12Gbps, Hot-Plug.</w:t>
            </w:r>
          </w:p>
          <w:p w:rsidR="00084844" w:rsidRDefault="004B3C51">
            <w:pPr>
              <w:pStyle w:val="Akapitzlist"/>
              <w:numPr>
                <w:ilvl w:val="0"/>
                <w:numId w:val="10"/>
              </w:numPr>
              <w:spacing w:line="252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dyski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SSD SATA RI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>pojemności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de-DE"/>
              </w:rPr>
              <w:t xml:space="preserve"> min. 480GB, Hot-Plug.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Możliwość zainstalowania dwóch dysków M.2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NVMe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SSDs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 pojemności min. 960GB Hot-Plug z możliwością konfiguracji RAID 1.</w:t>
            </w:r>
          </w:p>
        </w:tc>
      </w:tr>
      <w:tr w:rsidR="00084844">
        <w:trPr>
          <w:trHeight w:val="512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Kontroler RAID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Sprzętowy kontroler dyskowy, posiadający min. 8GB nieulotnej pamięci cache, możliwe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konfiguracje poziomów RAID: 0, 1, 5, 6, 10, 50, 60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Wbudowane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porty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3x USB w tym przynajmniej 1x USB 3.0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1x port VGA na przednim panelu obudowy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Możliwość rozbudowy o port RS232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Diagnostyka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Panel LCD umieszczony na froncie obudowy, umożliwiający wyświetlen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ie informacji o stanie procesora, pamięci, dysków,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BIOS’u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zasilaniu oraz temperaturze.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Video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Zintegrowana karta graficzna umożliwiająca wyświetlenie rozdzielczości min. 1920x1080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Wentylatory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Redundantne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Zasilacze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Redundantne, Hot-Plug min. 1100W każdy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wraz z kablami zasilającymi o długości min. 2m.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Zatrzask górnej pokrywy oraz blokada na ramce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panela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zamykana na klucz służąca do ochrony nieautoryzowanego dostępu do dysków twardych.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wyłączenia w BIOS funkcji przycisku zasilania.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BIOS ma możliwość przejścia do bezpiecznego trybu rozruchowego z możliwością zarządzania blokadą zasilania, panelem sterowania oraz zmianą hasła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Wbudowany czujnik otwarcia obudowy współpracujący z BIOS i kartą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zarządzającą.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Moduł TPM 2.0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Możliwość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dynamicznego włączania i wyłączania portów USB na obudowie – bez potrzeby restartu serwera</w:t>
            </w:r>
          </w:p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wymazania danych ze znajdujących się dysków wewnątrz serwera – niezależne od zainstalowanego systemu operacyjnego, uruchamiane z poziomu zarządzania serwer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Karta Zarządzania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Niezależna od zainstalowanego na serwerze systemu operacyjnego posiadająca dedykowany port Gigabit Ethernet RJ-45 i umożliwiająca: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zdalny dostęp do graficznego interfejsu Web karty zarządzającej;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zdalne monitorowanie i informowanie 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statusie serwera (np. prędkości obrotowej wentylatorów, konfiguracji serwera);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szyfrowane połączenie (TLS) oraz autentykacje i autoryzację użytkownika;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podmontowania zdalnych wirtualnych napędów;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wirtualną konsolę z dostępem do myszy, klawiatury;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wsparcie dla Ipv6;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wsparcie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dla WSMAN (Web Service for Management); SNMP; IPMI2.0, SSH, Redfish;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zdalnego monitorowania w czasie rzeczywistym poboru prądu przez serwer;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zdalnego ustawienia limitu poboru prądu przez konkretny serwer;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integracja z Active Directory;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obsługi przez dwóch administratorów jednocześnie;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wysyłanie do administratora maila z powiadomieniem o awarii lub zmianie konfiguracji sprzętowej.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możliwość bezpośredniego zarządzania poprzez dedykowany port USB na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przednim panelu serwera</w:t>
            </w:r>
          </w:p>
          <w:p w:rsidR="00084844" w:rsidRDefault="004B3C51">
            <w:pPr>
              <w:pStyle w:val="Akapitzlist"/>
              <w:numPr>
                <w:ilvl w:val="0"/>
                <w:numId w:val="6"/>
              </w:numPr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zarządzania do 100 serwerów bezpośrednio z konsoli karty zarządzającej pojedynczego serwera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Oprogramowanie do zarządzania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pStyle w:val="Akapitzlist"/>
              <w:numPr>
                <w:ilvl w:val="0"/>
                <w:numId w:val="5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Możliwość zainstalowania oprogramowania producenta do zarządzania, spełniającego poniższe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wymagania: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Wsparcie dla serwerów, urządzeń sieciowych oraz pamięci masowych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integracja z Active Directory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zarządzania dostarczonymi serwerami bez udziału dedykowanego agenta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Wsparcie dla protokołów SNMP, IPMI, Linux SSH,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Redfish</w:t>
            </w:r>
            <w:proofErr w:type="spellEnd"/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Możliwość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uruchamiania procesu wykrywania urządzeń w oparciu o harmonogram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Szczegółowy opis wykrytych systemów oraz ich komponentów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eksportu raportu do CSV, HTML, XLS, PDF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tworzenia własnych raportów w oparciu o wszystkie informacje zawarte w inw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entarzu.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Grupowanie urządzeń w oparciu o kryteria użytkownika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PCIe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pozostałego czasu gwarancji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ur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uchamiania narzędzi zarządzających w poszczególnych urządzeniach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Szybki podgląd stanu środowiska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Podsumowanie stanu dla każdego urządzenia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Szczegółowy status urządzenia/elementu/komponentu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Generowanie alertów przy zmianie stanu urządzenia.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Filtry raportów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umożliwiające podgląd najważniejszych zdarzeń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Integracja z service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desk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producenta dostarczonej platformy sprzętowej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przejęcia zdalnego pulpitu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podmontowania wirtualnego napędu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Kreator umożliwiający dostosowanie akcji dla wybranych aler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importu plików MIB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Przesyłanie alertów „as-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” do innych konsol firm trzecich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definiowania ról administratorów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zdalnej aktualizacji oprogramowania wewnętrznego serwerów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Aktualizacja oparta o wybranie źródła bibliotek (loka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lna, on-line producenta oferowanego rozwiązania)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instalacji oprogramowania wewnętrznego bez potrzeby instalacji agenta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automatycznego generowania i zgłaszania incydentów awarii bezpośrednio do centrum serwisowego producenta serwerów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Mod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uł raportujący pozwalający na wygenerowanie następujących informacji: nr seryjne sprzętu, konfiguracja poszczególnych urządzeń, wersje oprogramowania wewnętrznego, obsadzenie slotów PCI i gniazd pamięci, informację o maszynach wirtualnych, aktualne informa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cje o stanie i poziomie gwarancji, adresy IP kart sieciowych, występujących alertów, MAC adresów kart sieciowych, stanie poszczególnych komponentów serwera.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tworzenia sprzętowej konfiguracji bazowej i na jej podstawie weryfikacji środowiska w cel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 wykrycia rozbieżności.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Wdrażanie serwerów, rozwiązań modularnych oraz przełączników sieciowych w oparciu o profile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Możliwość migracji ustawień serwera wraz z wirtualnymi adresami sieciowymi (MAC, WWN, IQN) między urządzeniami.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Tworzenie gotowych paczek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informacji umożliwiających zdiagnozowanie awarii urządzenia przez serwis producenta.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Zdalne uruchamianie diagnostyki serwera.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Dedykowana aplikacja na urządzenia mobilne integrująca się z wyżej opisanymi oprogramowaniem zarządzającym.</w:t>
            </w:r>
          </w:p>
          <w:p w:rsidR="00084844" w:rsidRDefault="004B3C51">
            <w:pPr>
              <w:pStyle w:val="Akapitzlist"/>
              <w:numPr>
                <w:ilvl w:val="1"/>
                <w:numId w:val="6"/>
              </w:numPr>
              <w:spacing w:after="0" w:line="259" w:lineRule="auto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Oprogramowanie dostarc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zane jako wirtualny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appliance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dla KVM,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ESXi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i Hyper-V.</w:t>
            </w:r>
          </w:p>
        </w:tc>
      </w:tr>
      <w:tr w:rsidR="00084844"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Certyfikaty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Serwer musi być wyprodukowany zgodnie z normą ISO-9001:2015, ISO-50001 oraz ISO-14001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Serwer musi posiadać deklaracja CE.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Oferowany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serwer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musi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znajdować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się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liście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Windows Server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Catalog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posiadać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status „Certified for Windows” dla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systemów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Microsoft Windows Server 2019, Microsoft Windows Server 2022, Microsoft Windows Server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lastRenderedPageBreak/>
              <w:t>2025.</w:t>
            </w:r>
          </w:p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Wsparcie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dla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>ESXi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val="en-GB"/>
              </w:rPr>
              <w:t xml:space="preserve"> 8.</w:t>
            </w:r>
          </w:p>
        </w:tc>
      </w:tr>
      <w:tr w:rsidR="00084844">
        <w:trPr>
          <w:trHeight w:val="980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Dokumentacja użytkownika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Zamawiający wymaga dokumentacji w języku polskim lub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angi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lskim.</w:t>
            </w:r>
          </w:p>
          <w:p w:rsidR="00084844" w:rsidRDefault="004B3C5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084844">
        <w:trPr>
          <w:trHeight w:val="230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844" w:rsidRDefault="004B3C5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Warunki gwarancji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lat gwarancji producenta, z czasem reakcji do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następnego dnia roboczego od przyjęcia zgłoszenia.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możliwości zgłaszania zdarzeń serwisowych w trybie 24/7/365 następującymi kanałami: telefonicznie, przez Internet oraz z wykorzystaniem aplikacji.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Zgłoszenie przyjęte jest potwierdzane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przez zespół pomocy technicznej (mail/telefon/portal) przez nadanie unikalnego numeru zgłoszenia pozwalającego na identyfikację zgłoszenia w trakcie realizacji naprawy i po jej zakończeniu.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Możliwość sprawdzenia statusu gwarancji poprzez stronę producenta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podając unikatowy numer urządzenia oraz pobieranie uaktualnień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mikrokodu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oraz sterowników nawet w przypadku wygaśnięcia gwarancji serwera.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Zamawiający oczekuje nieodpłatnego udostępnienia narzędzi serwisowych i procesów wsparcia umożliwiających: Wykrywani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 usterek sprzętowych z predykcją awarii.</w:t>
            </w:r>
          </w:p>
          <w:p w:rsidR="00084844" w:rsidRDefault="004B3C51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Zamawiający wymaga od podmiotu realizującego serwis lub producenta sprzętu dołączenia do oferty oświadczenia, że w przypadku wystąpienia awarii dysku twardego w urządzeniu objętym aktywnym wparciem technicznym, usz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kodzony dysk twardy pozostaje u Zamawiającego.</w:t>
            </w:r>
          </w:p>
          <w:p w:rsidR="00084844" w:rsidRDefault="004B3C51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</w:tbl>
    <w:p w:rsidR="00084844" w:rsidRDefault="00084844">
      <w:pPr>
        <w:rPr>
          <w:rFonts w:ascii="Times New Roman" w:hAnsi="Times New Roman" w:cs="Times New Roman"/>
          <w:sz w:val="22"/>
          <w:szCs w:val="22"/>
        </w:rPr>
      </w:pPr>
    </w:p>
    <w:p w:rsidR="00084844" w:rsidRDefault="00084844">
      <w:pPr>
        <w:rPr>
          <w:rFonts w:ascii="Times New Roman" w:eastAsiaTheme="majorEastAsia" w:hAnsi="Times New Roman" w:cs="Times New Roman"/>
          <w:color w:val="2E74B5" w:themeColor="accent1" w:themeShade="BF"/>
          <w:sz w:val="22"/>
          <w:szCs w:val="22"/>
        </w:rPr>
      </w:pPr>
    </w:p>
    <w:p w:rsidR="00084844" w:rsidRDefault="004B3C51">
      <w:pPr>
        <w:pStyle w:val="Nagwek2"/>
        <w:widowControl/>
        <w:numPr>
          <w:ilvl w:val="0"/>
          <w:numId w:val="16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9" w:name="_Toc190718151"/>
      <w:r>
        <w:rPr>
          <w:rFonts w:ascii="Times New Roman" w:hAnsi="Times New Roman" w:cs="Times New Roman"/>
          <w:b/>
          <w:color w:val="auto"/>
        </w:rPr>
        <w:t>Oprogramowanie do wirtualizacji</w:t>
      </w:r>
      <w:bookmarkEnd w:id="9"/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Licencja na 96 rdzeni, oprogramowanie dostarczone w formie subskrypcji ze wsparciem technicznym producenta na 5 lat 24/7 NBD.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Warstwa wirtualizacji musi być zainstalowana bezpośrednio na sprzęcie fizycznym bez dodatkowych </w:t>
      </w:r>
      <w:r>
        <w:rPr>
          <w:rFonts w:ascii="Times New Roman" w:hAnsi="Times New Roman" w:cs="Times New Roman"/>
          <w:sz w:val="22"/>
          <w:szCs w:val="22"/>
        </w:rPr>
        <w:t>pośredniczących systemów operacyjnych.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zapewnić możliwość obsługi wielu instancji systemów operacyjnych na jednym serwerze fizycznym i powinno się charakteryzować maksymalnym możliwym stopniem konsolidacji sprzętowej.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do wir</w:t>
      </w:r>
      <w:r>
        <w:rPr>
          <w:rFonts w:ascii="Times New Roman" w:hAnsi="Times New Roman" w:cs="Times New Roman"/>
          <w:sz w:val="22"/>
          <w:szCs w:val="22"/>
        </w:rPr>
        <w:t>tualizacji musi zapewniać możliwość stworzenia dysku maszyny wirtualnej o wielkości 62 TB.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do wirtualizacji musi zapewnić możliwość skonfigurowania maszyn wirtualnych z możliwością przydzielenia 24 TB pamięci operacyjnej RAM.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</w:t>
      </w:r>
      <w:r>
        <w:rPr>
          <w:rFonts w:ascii="Times New Roman" w:hAnsi="Times New Roman" w:cs="Times New Roman"/>
          <w:sz w:val="22"/>
          <w:szCs w:val="22"/>
        </w:rPr>
        <w:t>do wirtualizacji musi zapewnić możliwość skonfigurowania maszyn wirtualnych, z których każda może mieć 1-10 wirtualnych kart sieciowych.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do wirtualizacji musi zapewnić możliwość skonfigurowania maszyn wirtualnych, z których każda może mieć 3</w:t>
      </w:r>
      <w:r>
        <w:rPr>
          <w:rFonts w:ascii="Times New Roman" w:hAnsi="Times New Roman" w:cs="Times New Roman"/>
          <w:sz w:val="22"/>
          <w:szCs w:val="22"/>
        </w:rPr>
        <w:t>2 porty szeregowe.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do wirtualizacji musi zapewnić możliwość skonfigurowania maszyn wirtualnych, z których każda może mieć 20 portów USB.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0" w:name="_Hlk54879791"/>
      <w:r>
        <w:rPr>
          <w:rFonts w:ascii="Times New Roman" w:hAnsi="Times New Roman" w:cs="Times New Roman"/>
          <w:sz w:val="22"/>
          <w:szCs w:val="22"/>
        </w:rPr>
        <w:t>Oprogramowanie do wirtualizacji musi zapewnić możliwość skonfigurowania maszyn wirtualnych, z których ka</w:t>
      </w:r>
      <w:r>
        <w:rPr>
          <w:rFonts w:ascii="Times New Roman" w:hAnsi="Times New Roman" w:cs="Times New Roman"/>
          <w:sz w:val="22"/>
          <w:szCs w:val="22"/>
        </w:rPr>
        <w:t>żda może mieć 4 GB pamięci graficznej.</w:t>
      </w:r>
      <w:bookmarkEnd w:id="10"/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umożliwiać łatwą i szybką rozbudowę infrastruktury o nowe usługi bez spadku wydajności i dostępności pozostałych wybranych usług.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powinno w możliwie największym stopniu być niezależne od p</w:t>
      </w:r>
      <w:r>
        <w:rPr>
          <w:rFonts w:ascii="Times New Roman" w:hAnsi="Times New Roman" w:cs="Times New Roman"/>
          <w:sz w:val="22"/>
          <w:szCs w:val="22"/>
        </w:rPr>
        <w:t>roducenta platformy sprzętowej.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1" w:name="_Hlk54879826"/>
      <w:r>
        <w:rPr>
          <w:rFonts w:ascii="Times New Roman" w:hAnsi="Times New Roman" w:cs="Times New Roman"/>
          <w:sz w:val="22"/>
          <w:szCs w:val="22"/>
        </w:rPr>
        <w:lastRenderedPageBreak/>
        <w:t xml:space="preserve">Rozwiązanie musi wspierać następujące systemy operacyjne: Windows 7/8/10/11, Windows Server, Amazon Linux 2, </w:t>
      </w:r>
      <w:proofErr w:type="spellStart"/>
      <w:r>
        <w:rPr>
          <w:rFonts w:ascii="Times New Roman" w:hAnsi="Times New Roman" w:cs="Times New Roman"/>
          <w:sz w:val="22"/>
          <w:szCs w:val="22"/>
        </w:rPr>
        <w:t>macOS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OS X, </w:t>
      </w:r>
      <w:proofErr w:type="spellStart"/>
      <w:r>
        <w:rPr>
          <w:rFonts w:ascii="Times New Roman" w:hAnsi="Times New Roman" w:cs="Times New Roman"/>
          <w:sz w:val="22"/>
          <w:szCs w:val="22"/>
        </w:rPr>
        <w:t>Asianux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Ubuntu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CentOS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NeoKylin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Debian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FreeBSD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Oracle Linux, RHEL, SUSE, </w:t>
      </w:r>
      <w:proofErr w:type="spellStart"/>
      <w:r>
        <w:rPr>
          <w:rFonts w:ascii="Times New Roman" w:hAnsi="Times New Roman" w:cs="Times New Roman"/>
          <w:sz w:val="22"/>
          <w:szCs w:val="22"/>
        </w:rPr>
        <w:t>Photon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OS.</w:t>
      </w:r>
      <w:bookmarkEnd w:id="11"/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Rozwiązanie </w:t>
      </w:r>
      <w:r>
        <w:rPr>
          <w:rFonts w:ascii="Times New Roman" w:hAnsi="Times New Roman" w:cs="Times New Roman"/>
          <w:sz w:val="22"/>
          <w:szCs w:val="22"/>
        </w:rPr>
        <w:t>musi umożliwiać przydzielenie większej ilości pamięci RAM dla maszyn wirtualnych niż fizyczne zasoby RAM serwera w celu osiągnięcia maksymalnego współczynnika konsolidacji.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do wirtualizacji powinno zapewnić możliwość wykonywania kopii migawk</w:t>
      </w:r>
      <w:r>
        <w:rPr>
          <w:rFonts w:ascii="Times New Roman" w:hAnsi="Times New Roman" w:cs="Times New Roman"/>
          <w:sz w:val="22"/>
          <w:szCs w:val="22"/>
        </w:rPr>
        <w:t xml:space="preserve">owych instancji systemów operacyjnych (tzw. </w:t>
      </w:r>
      <w:proofErr w:type="spellStart"/>
      <w:r>
        <w:rPr>
          <w:rFonts w:ascii="Times New Roman" w:hAnsi="Times New Roman" w:cs="Times New Roman"/>
          <w:sz w:val="22"/>
          <w:szCs w:val="22"/>
        </w:rPr>
        <w:t>snapshot</w:t>
      </w:r>
      <w:proofErr w:type="spellEnd"/>
      <w:r>
        <w:rPr>
          <w:rFonts w:ascii="Times New Roman" w:hAnsi="Times New Roman" w:cs="Times New Roman"/>
          <w:sz w:val="22"/>
          <w:szCs w:val="22"/>
        </w:rPr>
        <w:t>) na potrzeby tworzenia kopii zapasowych bez przerywania ich pracy.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umożliwiać udostępnienie maszynie wirtualnej większej ilości zasobów dyskowych niż jest fizycznie zarezerwowane na dysk</w:t>
      </w:r>
      <w:r>
        <w:rPr>
          <w:rFonts w:ascii="Times New Roman" w:hAnsi="Times New Roman" w:cs="Times New Roman"/>
          <w:sz w:val="22"/>
          <w:szCs w:val="22"/>
        </w:rPr>
        <w:t xml:space="preserve">ach lokalnych serwera lub na macierzy. 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posiadać funkcjonalność wirtualnego przełącznika sieciowego umożliwiającego tworzenie sieci wirtualnej w obszarze hosta i pozwalającego połączyć maszyny wirtualne w obszarze jednego hosta, a także na zewn</w:t>
      </w:r>
      <w:r>
        <w:rPr>
          <w:rFonts w:ascii="Times New Roman" w:hAnsi="Times New Roman" w:cs="Times New Roman"/>
          <w:sz w:val="22"/>
          <w:szCs w:val="22"/>
        </w:rPr>
        <w:t>ątrz sieci fizycznej. Pojedynczy przełącznik wirtualny powinien mieć możliwość konfiguracji do 4000 portów.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Pojedynczy wirtualny przełącznik musi posiadać możliwość przyłączania do niego dwóch i więcej fizycznych kart sieciowych, aby zapewnić bezpieczeństw</w:t>
      </w:r>
      <w:r>
        <w:rPr>
          <w:rFonts w:ascii="Times New Roman" w:hAnsi="Times New Roman" w:cs="Times New Roman"/>
          <w:sz w:val="22"/>
          <w:szCs w:val="22"/>
        </w:rPr>
        <w:t xml:space="preserve">o połączenia </w:t>
      </w:r>
      <w:proofErr w:type="spellStart"/>
      <w:r>
        <w:rPr>
          <w:rFonts w:ascii="Times New Roman" w:hAnsi="Times New Roman" w:cs="Times New Roman"/>
          <w:sz w:val="22"/>
          <w:szCs w:val="22"/>
        </w:rPr>
        <w:t>ethernetowego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razie awarii karty sieciowej.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Wirtualne przełączniki musza obsługiwać wirtualne sieci lokalne (VLAN).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Polityka licencjonowania musi umożliwiać przenoszenie licencji na oprogramowanie do wirtualizacji pomiędzy serwerami różnych </w:t>
      </w:r>
      <w:r>
        <w:rPr>
          <w:rFonts w:ascii="Times New Roman" w:hAnsi="Times New Roman" w:cs="Times New Roman"/>
          <w:sz w:val="22"/>
          <w:szCs w:val="22"/>
        </w:rPr>
        <w:t>producentów z zachowaniem wsparcia technicznego i zmianą wersji oprogramowania na niższą (</w:t>
      </w:r>
      <w:proofErr w:type="spellStart"/>
      <w:r>
        <w:rPr>
          <w:rFonts w:ascii="Times New Roman" w:hAnsi="Times New Roman" w:cs="Times New Roman"/>
          <w:sz w:val="22"/>
          <w:szCs w:val="22"/>
        </w:rPr>
        <w:t>downgrade</w:t>
      </w:r>
      <w:proofErr w:type="spellEnd"/>
      <w:r>
        <w:rPr>
          <w:rFonts w:ascii="Times New Roman" w:hAnsi="Times New Roman" w:cs="Times New Roman"/>
          <w:sz w:val="22"/>
          <w:szCs w:val="22"/>
        </w:rPr>
        <w:t>). Wsparcie techniczne musi być świadczone bezpośrednio przez producenta oprogramowania. Licencjonowanie nie może odbywać się w trybie OEM.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2" w:name="_Hlk54957542"/>
      <w:r>
        <w:rPr>
          <w:rFonts w:ascii="Times New Roman" w:hAnsi="Times New Roman" w:cs="Times New Roman"/>
          <w:sz w:val="22"/>
          <w:szCs w:val="22"/>
        </w:rPr>
        <w:t>Oprogramowanie za</w:t>
      </w:r>
      <w:r>
        <w:rPr>
          <w:rFonts w:ascii="Times New Roman" w:hAnsi="Times New Roman" w:cs="Times New Roman"/>
          <w:sz w:val="22"/>
          <w:szCs w:val="22"/>
        </w:rPr>
        <w:t>rządzające musi posiadać możliwość przydzielania i konfiguracji uprawnień z możliwością integracji z usługami katalogowymi, w szczególności  Microsoft Active Directory, Open LDAP.</w:t>
      </w:r>
      <w:bookmarkEnd w:id="12"/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posiadać wbudowany interfejs programistyczny (API) zapewnia</w:t>
      </w:r>
      <w:r>
        <w:rPr>
          <w:rFonts w:ascii="Times New Roman" w:hAnsi="Times New Roman" w:cs="Times New Roman"/>
          <w:sz w:val="22"/>
          <w:szCs w:val="22"/>
        </w:rPr>
        <w:t xml:space="preserve">jący pełną integrację zewnętrznych rozwiązań wykonywania kopii zapasowych z istniejącymi mechanizmami warstwy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wirtualizacyjnej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zapewniać mechanizm replikacji wskazanych maszyn wirtualnych pomiędzy różnymi systemami pamięci masowych.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</w:t>
      </w:r>
      <w:r>
        <w:rPr>
          <w:rFonts w:ascii="Times New Roman" w:hAnsi="Times New Roman" w:cs="Times New Roman"/>
          <w:sz w:val="22"/>
          <w:szCs w:val="22"/>
        </w:rPr>
        <w:t xml:space="preserve">ązanie musi zawierać funkcjonalność pozwalającą na ominięcie testów inicjalizacyjnych sprzętu fizycznego w celu szybkiego startu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wirtualizatora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084844" w:rsidRDefault="004B3C51">
      <w:pPr>
        <w:pStyle w:val="Akapitzlist"/>
        <w:numPr>
          <w:ilvl w:val="0"/>
          <w:numId w:val="13"/>
        </w:numPr>
        <w:spacing w:line="259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zawierać możliwość zabezpieczania maszyn wirtualnych przez rozwiązania antywirusowe firm trzec</w:t>
      </w:r>
      <w:r>
        <w:rPr>
          <w:rFonts w:ascii="Times New Roman" w:hAnsi="Times New Roman" w:cs="Times New Roman"/>
          <w:sz w:val="22"/>
          <w:szCs w:val="22"/>
        </w:rPr>
        <w:t>ich bez konieczności instalacji agenta wewnątrz maszyny wirtualnej.</w:t>
      </w:r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mieć możliwość przenoszenia maszyn wirtualnych w czasie ich pracy, bez jakiegokolwiek przestoju i bez utraty danych, pomiędzy serwerami fizycznymi, niezależnie od dostępno</w:t>
      </w:r>
      <w:r>
        <w:rPr>
          <w:rFonts w:ascii="Times New Roman" w:hAnsi="Times New Roman" w:cs="Times New Roman"/>
          <w:sz w:val="22"/>
          <w:szCs w:val="22"/>
        </w:rPr>
        <w:t xml:space="preserve">ści współdzielonej przestrzeni dyskowej, </w:t>
      </w:r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mieć możliwość przenoszenia maszyn wirtualnych w czasie ich pracy, bez jakiegokolwiek przestoju i bez utraty danych, pomiędzy zasobami dyskowymi, niezależnie od dostępności współdzielonej przestrze</w:t>
      </w:r>
      <w:r>
        <w:rPr>
          <w:rFonts w:ascii="Times New Roman" w:hAnsi="Times New Roman" w:cs="Times New Roman"/>
          <w:sz w:val="22"/>
          <w:szCs w:val="22"/>
        </w:rPr>
        <w:t xml:space="preserve">ni dyskowej, </w:t>
      </w:r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Rozwiązanie musi mieć możliwość przenoszenia maszyn wirtualnych w czasie ich pracy, bez jakiegokolwiek przestoju i bez utraty danych, jednocześnie między serwerami fizycznymi oraz zasobami dyskowymi, niezależnie od dostępności współdzielonej </w:t>
      </w:r>
      <w:r>
        <w:rPr>
          <w:rFonts w:ascii="Times New Roman" w:hAnsi="Times New Roman" w:cs="Times New Roman"/>
          <w:sz w:val="22"/>
          <w:szCs w:val="22"/>
        </w:rPr>
        <w:t>przestrzeni dyskowej.</w:t>
      </w:r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Musi zostać zapewniona odpowiednia redundancja i taki mechanizm (wysokiej dostępności HA), aby w przypadku awarii lub niedostępności serwera fizycznego wybrane przez administratora i uruchomione nim wirtualne maszyny zostały uruchomio</w:t>
      </w:r>
      <w:r>
        <w:rPr>
          <w:rFonts w:ascii="Times New Roman" w:hAnsi="Times New Roman" w:cs="Times New Roman"/>
          <w:sz w:val="22"/>
          <w:szCs w:val="22"/>
        </w:rPr>
        <w:t xml:space="preserve">ne na innych serwerach z zainstalowanym oprogramowaniem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wirtualizacyjnym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bookmarkStart w:id="13" w:name="_Hlk54958780"/>
      <w:r>
        <w:rPr>
          <w:rFonts w:ascii="Times New Roman" w:hAnsi="Times New Roman" w:cs="Times New Roman"/>
          <w:sz w:val="22"/>
          <w:szCs w:val="22"/>
        </w:rPr>
        <w:t>Rozwiązanie musi posiadać co najmniej 2 niezależne mechanizmy wzajemnej komunikacji między serwerami oraz z serwerem zarządzającym, gwarantujące właściwe działanie mechanizmów wysoki</w:t>
      </w:r>
      <w:r>
        <w:rPr>
          <w:rFonts w:ascii="Times New Roman" w:hAnsi="Times New Roman" w:cs="Times New Roman"/>
          <w:sz w:val="22"/>
          <w:szCs w:val="22"/>
        </w:rPr>
        <w:t>ej dostępności na wypadek izolacji sieciowej serwerów fizycznych lub partycjonowania sieci.</w:t>
      </w:r>
      <w:bookmarkEnd w:id="13"/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Rozwiązanie musi zapewniać wsparcie dla wirtualizacji zagnieżdżonej, w szczególności w zakresie możliwości zastosowania wszystkich funkcjonalności w tym Hyper-V sys</w:t>
      </w:r>
      <w:r>
        <w:rPr>
          <w:rFonts w:ascii="Times New Roman" w:hAnsi="Times New Roman" w:cs="Times New Roman"/>
          <w:sz w:val="22"/>
          <w:szCs w:val="22"/>
        </w:rPr>
        <w:t>temu Windows Server na maszynie wirtualnej.</w:t>
      </w:r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Rozwiązanie musi zapewniać możliwość dodawania zasobów w czasie pracy maszyny wirtualnej, w szczególności w zakresie ilości procesorów, pamięci operacyjnej i przestrzeni dyskowej.</w:t>
      </w:r>
    </w:p>
    <w:p w:rsidR="00084844" w:rsidRDefault="004B3C51">
      <w:pPr>
        <w:pStyle w:val="Akapitzlist"/>
        <w:numPr>
          <w:ilvl w:val="0"/>
          <w:numId w:val="13"/>
        </w:numPr>
        <w:spacing w:after="2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do wirtualizacji </w:t>
      </w:r>
      <w:r>
        <w:rPr>
          <w:rFonts w:ascii="Times New Roman" w:hAnsi="Times New Roman" w:cs="Times New Roman"/>
          <w:sz w:val="22"/>
          <w:szCs w:val="22"/>
        </w:rPr>
        <w:t>musi zapewniać mechanizm takiego zabezpieczenia wybranych przez administratora wirtualnych maszyn, aby w przypadku awarii lub niedostępności serwera fizycznego maszyny, które na nim pracowały, były bezprzerwowo dostępne na innym serwerze z zainstalowanym o</w:t>
      </w:r>
      <w:r>
        <w:rPr>
          <w:rFonts w:ascii="Times New Roman" w:hAnsi="Times New Roman" w:cs="Times New Roman"/>
          <w:sz w:val="22"/>
          <w:szCs w:val="22"/>
        </w:rPr>
        <w:t xml:space="preserve">programowaniem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wirtualizacyjnym</w:t>
      </w:r>
      <w:proofErr w:type="spellEnd"/>
      <w:r>
        <w:rPr>
          <w:rFonts w:ascii="Times New Roman" w:hAnsi="Times New Roman" w:cs="Times New Roman"/>
          <w:sz w:val="22"/>
          <w:szCs w:val="22"/>
        </w:rPr>
        <w:t>. Mechanizm ten umożliwia zabezpieczenie maszyn wirtualnych wyposażonych w minimum 2 wirtualne procesory.</w:t>
      </w:r>
    </w:p>
    <w:p w:rsidR="00084844" w:rsidRDefault="004B3C51">
      <w:pPr>
        <w:pStyle w:val="Nagwek2"/>
        <w:widowControl/>
        <w:numPr>
          <w:ilvl w:val="0"/>
          <w:numId w:val="16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</w:rPr>
      </w:pPr>
      <w:bookmarkStart w:id="14" w:name="_Toc190718152"/>
      <w:r>
        <w:rPr>
          <w:rFonts w:ascii="Times New Roman" w:hAnsi="Times New Roman" w:cs="Times New Roman"/>
          <w:b/>
          <w:color w:val="auto"/>
        </w:rPr>
        <w:t>Oprogramowanie do kopii zapasowej</w:t>
      </w:r>
      <w:bookmarkEnd w:id="14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Licencja na 15 maszyn wirtualnych, permanentna, na 5 lat ze wsparciem 24/7 NBD.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</w:t>
      </w:r>
      <w:r>
        <w:rPr>
          <w:rFonts w:ascii="Times New Roman" w:hAnsi="Times New Roman" w:cs="Times New Roman"/>
          <w:sz w:val="22"/>
          <w:szCs w:val="22"/>
        </w:rPr>
        <w:t xml:space="preserve">ramowanie musi być produktem przeznaczonym do obsługi środowisk </w:t>
      </w:r>
      <w:proofErr w:type="spellStart"/>
      <w:r>
        <w:rPr>
          <w:rFonts w:ascii="Times New Roman" w:hAnsi="Times New Roman" w:cs="Times New Roman"/>
          <w:sz w:val="22"/>
          <w:szCs w:val="22"/>
        </w:rPr>
        <w:t>DataCenter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Oferowany produkt musi znajdować się w kwadracie liderów Gartner Magic </w:t>
      </w:r>
      <w:proofErr w:type="spellStart"/>
      <w:r>
        <w:rPr>
          <w:rFonts w:ascii="Times New Roman" w:hAnsi="Times New Roman" w:cs="Times New Roman"/>
          <w:sz w:val="22"/>
          <w:szCs w:val="22"/>
        </w:rPr>
        <w:t>Quadrant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for Data Center Backup and </w:t>
      </w:r>
      <w:proofErr w:type="spellStart"/>
      <w:r>
        <w:rPr>
          <w:rFonts w:ascii="Times New Roman" w:hAnsi="Times New Roman" w:cs="Times New Roman"/>
          <w:sz w:val="22"/>
          <w:szCs w:val="22"/>
        </w:rPr>
        <w:t>Recovery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Solutions oraz na ogólnie dostępnej liście referencyjnej Gartner</w:t>
      </w:r>
      <w:r>
        <w:rPr>
          <w:rFonts w:ascii="Times New Roman" w:hAnsi="Times New Roman" w:cs="Times New Roman"/>
          <w:sz w:val="22"/>
          <w:szCs w:val="22"/>
        </w:rPr>
        <w:t xml:space="preserve"> Peer </w:t>
      </w:r>
      <w:proofErr w:type="spellStart"/>
      <w:r>
        <w:rPr>
          <w:rFonts w:ascii="Times New Roman" w:hAnsi="Times New Roman" w:cs="Times New Roman"/>
          <w:sz w:val="22"/>
          <w:szCs w:val="22"/>
        </w:rPr>
        <w:t>Insights</w:t>
      </w:r>
      <w:proofErr w:type="spellEnd"/>
      <w:r>
        <w:rPr>
          <w:rFonts w:ascii="Times New Roman" w:hAnsi="Times New Roman" w:cs="Times New Roman"/>
          <w:sz w:val="22"/>
          <w:szCs w:val="22"/>
        </w:rPr>
        <w:t>: i spełniać minimalne wymaganie : - minimalna liczba referencji 150, - minimalna ocena z referencji 4,5,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współpracować z infrastrukturą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wersji 6.x, 7.x i 8.0 oraz Microsoft Hyper-V 2012, 2012R2, 2016, 2019, 2022 </w:t>
      </w:r>
      <w:r>
        <w:rPr>
          <w:rFonts w:ascii="Times New Roman" w:hAnsi="Times New Roman" w:cs="Times New Roman"/>
          <w:sz w:val="22"/>
          <w:szCs w:val="22"/>
        </w:rPr>
        <w:t xml:space="preserve">i 2025. Wszystkie funkcjonalności w specyfikacji muszą być dostępne na wszystkich wspieranych platformach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wirtualizacyjnych</w:t>
      </w:r>
      <w:proofErr w:type="spellEnd"/>
      <w:r>
        <w:rPr>
          <w:rFonts w:ascii="Times New Roman" w:hAnsi="Times New Roman" w:cs="Times New Roman"/>
          <w:sz w:val="22"/>
          <w:szCs w:val="22"/>
        </w:rPr>
        <w:t>, chyba, że wyszczególniono inaczej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współpracować z infrastrukturą </w:t>
      </w:r>
      <w:proofErr w:type="spellStart"/>
      <w:r>
        <w:rPr>
          <w:rFonts w:ascii="Times New Roman" w:hAnsi="Times New Roman" w:cs="Times New Roman"/>
          <w:sz w:val="22"/>
          <w:szCs w:val="22"/>
        </w:rPr>
        <w:t>Nutanix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wersji 6.5.x - 7.0, Red </w:t>
      </w:r>
      <w:proofErr w:type="spellStart"/>
      <w:r>
        <w:rPr>
          <w:rFonts w:ascii="Times New Roman" w:hAnsi="Times New Roman" w:cs="Times New Roman"/>
          <w:sz w:val="22"/>
          <w:szCs w:val="22"/>
        </w:rPr>
        <w:t>Hat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Virtuali</w:t>
      </w:r>
      <w:r>
        <w:rPr>
          <w:rFonts w:ascii="Times New Roman" w:hAnsi="Times New Roman" w:cs="Times New Roman"/>
          <w:sz w:val="22"/>
          <w:szCs w:val="22"/>
        </w:rPr>
        <w:t>zation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4.4 SP1, Oracle Linux </w:t>
      </w:r>
      <w:proofErr w:type="spellStart"/>
      <w:r>
        <w:rPr>
          <w:rFonts w:ascii="Times New Roman" w:hAnsi="Times New Roman" w:cs="Times New Roman"/>
          <w:sz w:val="22"/>
          <w:szCs w:val="22"/>
        </w:rPr>
        <w:t>Virtualization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4.5.4 lub nowszy oraz </w:t>
      </w:r>
      <w:proofErr w:type="spellStart"/>
      <w:r>
        <w:rPr>
          <w:rFonts w:ascii="Times New Roman" w:hAnsi="Times New Roman" w:cs="Times New Roman"/>
          <w:sz w:val="22"/>
          <w:szCs w:val="22"/>
        </w:rPr>
        <w:t>Proxmox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VE 8.2 lub nowszy. 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zapewniać tworzenie kopii zapasowych z sieciowych urządzeń plikowych NAS opartych o SMB, CIFS i/lub NFS, obiektowych pamięci masowych kompaty</w:t>
      </w:r>
      <w:r>
        <w:rPr>
          <w:rFonts w:ascii="Times New Roman" w:hAnsi="Times New Roman" w:cs="Times New Roman"/>
          <w:sz w:val="22"/>
          <w:szCs w:val="22"/>
        </w:rPr>
        <w:t xml:space="preserve">bilnych z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Azure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Azure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Data Lake, AWS S3 i urządzeń kompatybilnych z protokołem S3  oraz bezpośrednio z serwerów plikowych opartych o Windows i Linux.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być niezależne sprzętowo i umożliwiać wykorzystanie dowolnej </w:t>
      </w:r>
      <w:r>
        <w:rPr>
          <w:rFonts w:ascii="Times New Roman" w:hAnsi="Times New Roman" w:cs="Times New Roman"/>
          <w:sz w:val="22"/>
          <w:szCs w:val="22"/>
        </w:rPr>
        <w:t>platformy serwerowej i dyskowej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tworzyć “samowystarczalne” archiwa do odzyskania których nie wymagana jest osobna baza danych z metadanymi </w:t>
      </w:r>
      <w:proofErr w:type="spellStart"/>
      <w:r>
        <w:rPr>
          <w:rFonts w:ascii="Times New Roman" w:hAnsi="Times New Roman" w:cs="Times New Roman"/>
          <w:sz w:val="22"/>
          <w:szCs w:val="22"/>
        </w:rPr>
        <w:t>deduplikowanych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bloków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mieć mechanizmy </w:t>
      </w:r>
      <w:proofErr w:type="spellStart"/>
      <w:r>
        <w:rPr>
          <w:rFonts w:ascii="Times New Roman" w:hAnsi="Times New Roman" w:cs="Times New Roman"/>
          <w:sz w:val="22"/>
          <w:szCs w:val="22"/>
        </w:rPr>
        <w:t>deduplikacji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kompresji w celu zmniej</w:t>
      </w:r>
      <w:r>
        <w:rPr>
          <w:rFonts w:ascii="Times New Roman" w:hAnsi="Times New Roman" w:cs="Times New Roman"/>
          <w:sz w:val="22"/>
          <w:szCs w:val="22"/>
        </w:rPr>
        <w:t>szenia wielkości archiwów. Włączenie tych mechanizmów nie może skutkować utratą jakichkolwiek funkcjonalności wymienionych w tej specyfikacji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nie może przechowywać danych o </w:t>
      </w:r>
      <w:proofErr w:type="spellStart"/>
      <w:r>
        <w:rPr>
          <w:rFonts w:ascii="Times New Roman" w:hAnsi="Times New Roman" w:cs="Times New Roman"/>
          <w:sz w:val="22"/>
          <w:szCs w:val="22"/>
        </w:rPr>
        <w:t>deduplikacji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centralnej bazie. Utrata bazy danych używanej przez o</w:t>
      </w:r>
      <w:r>
        <w:rPr>
          <w:rFonts w:ascii="Times New Roman" w:hAnsi="Times New Roman" w:cs="Times New Roman"/>
          <w:sz w:val="22"/>
          <w:szCs w:val="22"/>
        </w:rPr>
        <w:t xml:space="preserve">programowanie nie może prowadzić do utraty możliwości odtworzenia backupu. Metadane </w:t>
      </w:r>
      <w:proofErr w:type="spellStart"/>
      <w:r>
        <w:rPr>
          <w:rFonts w:ascii="Times New Roman" w:hAnsi="Times New Roman" w:cs="Times New Roman"/>
          <w:sz w:val="22"/>
          <w:szCs w:val="22"/>
        </w:rPr>
        <w:t>deduplikacji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muszą być przechowywane w plikach backupu.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zapewniać warstwę abstrakcji nad poszczególnymi urządzeniami pamięci masowej, pozwalając </w:t>
      </w:r>
      <w:r>
        <w:rPr>
          <w:rFonts w:ascii="Times New Roman" w:hAnsi="Times New Roman" w:cs="Times New Roman"/>
          <w:sz w:val="22"/>
          <w:szCs w:val="22"/>
        </w:rPr>
        <w:t xml:space="preserve">utworzyć jedną wirtualną pulę pamięci na kopie zapasowe. Wymagane jest wsparcie dla </w:t>
      </w:r>
      <w:proofErr w:type="spellStart"/>
      <w:r>
        <w:rPr>
          <w:rFonts w:ascii="Times New Roman" w:hAnsi="Times New Roman" w:cs="Times New Roman"/>
          <w:sz w:val="22"/>
          <w:szCs w:val="22"/>
        </w:rPr>
        <w:t>conajmniej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trzech pamięci masowych to takiej puli.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pozwalać na przechowywanie kopii bezpieczeństwa w chmurze producenta.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pozwalać na</w:t>
      </w:r>
      <w:r>
        <w:rPr>
          <w:rFonts w:ascii="Times New Roman" w:hAnsi="Times New Roman" w:cs="Times New Roman"/>
          <w:sz w:val="22"/>
          <w:szCs w:val="22"/>
        </w:rPr>
        <w:t xml:space="preserve"> tworzenie repozytorium kopii zapasowych bezpośrednio na zasobach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Azure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Blob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Google </w:t>
      </w:r>
      <w:proofErr w:type="spellStart"/>
      <w:r>
        <w:rPr>
          <w:rFonts w:ascii="Times New Roman" w:hAnsi="Times New Roman" w:cs="Times New Roman"/>
          <w:sz w:val="22"/>
          <w:szCs w:val="22"/>
        </w:rPr>
        <w:t>Cloud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Storage, Amazon S3, Wasabi </w:t>
      </w:r>
      <w:proofErr w:type="spellStart"/>
      <w:r>
        <w:rPr>
          <w:rFonts w:ascii="Times New Roman" w:hAnsi="Times New Roman" w:cs="Times New Roman"/>
          <w:sz w:val="22"/>
          <w:szCs w:val="22"/>
        </w:rPr>
        <w:t>Cloud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Storage oraz na innych kompatybilnych z S3 przestrzeniach obiektowych. Dodatkowo, oprogramowanie musi wspierać archiwizowa</w:t>
      </w:r>
      <w:r>
        <w:rPr>
          <w:rFonts w:ascii="Times New Roman" w:hAnsi="Times New Roman" w:cs="Times New Roman"/>
          <w:sz w:val="22"/>
          <w:szCs w:val="22"/>
        </w:rPr>
        <w:t xml:space="preserve">nie tych danych do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Azure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Archive </w:t>
      </w:r>
      <w:proofErr w:type="spellStart"/>
      <w:r>
        <w:rPr>
          <w:rFonts w:ascii="Times New Roman" w:hAnsi="Times New Roman" w:cs="Times New Roman"/>
          <w:sz w:val="22"/>
          <w:szCs w:val="22"/>
        </w:rPr>
        <w:t>Blob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Storage oraz Amazon S3 Glacier.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Oprogramowanie musi wspierać niezmienność kopii zapasowych na potrzeby ochrony przed </w:t>
      </w:r>
      <w:proofErr w:type="spellStart"/>
      <w:r>
        <w:rPr>
          <w:rFonts w:ascii="Times New Roman" w:hAnsi="Times New Roman" w:cs="Times New Roman"/>
          <w:sz w:val="22"/>
          <w:szCs w:val="22"/>
        </w:rPr>
        <w:t>ransomware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poprzez niedopuszczenie do usunięcia lub modyfikacji kopii zapasowej w zadanym o</w:t>
      </w:r>
      <w:r>
        <w:rPr>
          <w:rFonts w:ascii="Times New Roman" w:hAnsi="Times New Roman" w:cs="Times New Roman"/>
          <w:sz w:val="22"/>
          <w:szCs w:val="22"/>
        </w:rPr>
        <w:t xml:space="preserve">kresie czasu. 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nie może instalować żadnych stałych agentów wymagających wdrożenia czy </w:t>
      </w:r>
      <w:proofErr w:type="spellStart"/>
      <w:r>
        <w:rPr>
          <w:rFonts w:ascii="Times New Roman" w:hAnsi="Times New Roman" w:cs="Times New Roman"/>
          <w:sz w:val="22"/>
          <w:szCs w:val="22"/>
        </w:rPr>
        <w:t>upgradowania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wewnątrz maszyny wirtualnej dla jakichkolwiek funkcjonalności backupu lub odtwarzania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oferować portal samoobsługowy, umożl</w:t>
      </w:r>
      <w:r>
        <w:rPr>
          <w:rFonts w:ascii="Times New Roman" w:hAnsi="Times New Roman" w:cs="Times New Roman"/>
          <w:sz w:val="22"/>
          <w:szCs w:val="22"/>
        </w:rPr>
        <w:t xml:space="preserve">iwiający odtwarzanie użytkownikom wirtualnych maszyn, obiektów MS Exchange i baz danych MS SQL, Oracle oraz </w:t>
      </w:r>
      <w:proofErr w:type="spellStart"/>
      <w:r>
        <w:rPr>
          <w:rFonts w:ascii="Times New Roman" w:hAnsi="Times New Roman" w:cs="Times New Roman"/>
          <w:sz w:val="22"/>
          <w:szCs w:val="22"/>
        </w:rPr>
        <w:t>PostgreSQL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(w tym odtwarzanie point-in-</w:t>
      </w:r>
      <w:proofErr w:type="spellStart"/>
      <w:r>
        <w:rPr>
          <w:rFonts w:ascii="Times New Roman" w:hAnsi="Times New Roman" w:cs="Times New Roman"/>
          <w:sz w:val="22"/>
          <w:szCs w:val="22"/>
        </w:rPr>
        <w:t>time</w:t>
      </w:r>
      <w:proofErr w:type="spellEnd"/>
      <w:r>
        <w:rPr>
          <w:rFonts w:ascii="Times New Roman" w:hAnsi="Times New Roman" w:cs="Times New Roman"/>
          <w:sz w:val="22"/>
          <w:szCs w:val="22"/>
        </w:rPr>
        <w:t>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zapewniać możliwość delegacji uprawnień do odtwarzania na portalu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</w:t>
      </w:r>
      <w:r>
        <w:rPr>
          <w:rFonts w:ascii="Times New Roman" w:hAnsi="Times New Roman" w:cs="Times New Roman"/>
          <w:sz w:val="22"/>
          <w:szCs w:val="22"/>
        </w:rPr>
        <w:t xml:space="preserve">si mieć możliwość integracji z innymi systemami poprzez wbudowane </w:t>
      </w:r>
      <w:proofErr w:type="spellStart"/>
      <w:r>
        <w:rPr>
          <w:rFonts w:ascii="Times New Roman" w:hAnsi="Times New Roman" w:cs="Times New Roman"/>
          <w:sz w:val="22"/>
          <w:szCs w:val="22"/>
        </w:rPr>
        <w:t>RESTful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API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mieć wbudowane mechanizmy backupu konfiguracji w celu prostego odtworzenia systemu po całkowitej </w:t>
      </w:r>
      <w:proofErr w:type="spellStart"/>
      <w:r>
        <w:rPr>
          <w:rFonts w:ascii="Times New Roman" w:hAnsi="Times New Roman" w:cs="Times New Roman"/>
          <w:sz w:val="22"/>
          <w:szCs w:val="22"/>
        </w:rPr>
        <w:t>reinstalacji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wbudowane mechanizmy sz</w:t>
      </w:r>
      <w:r>
        <w:rPr>
          <w:rFonts w:ascii="Times New Roman" w:hAnsi="Times New Roman" w:cs="Times New Roman"/>
          <w:sz w:val="22"/>
          <w:szCs w:val="22"/>
        </w:rPr>
        <w:t>yfrowania zarówno plików z backupami jak i transmisji sieciowej. Włączenie szyfrowania nie może skutkować utratą jakiejkolwiek funkcjonalności wymienionej w tej specyfikacji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posiadać mechanizmy chroniące przed utratą hasła szyfrowania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programowanie musi posiadać architekturę klient/serwer z możliwością instalacji wielu instancji konsoli administracyjnych.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posiadać natywne mechanizmy uwierzytelniania wieloskładnikowego (MFA) w celu dostępu do konsoli administracyjnej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wymagać autoryzacji </w:t>
      </w:r>
      <w:proofErr w:type="spellStart"/>
      <w:r>
        <w:rPr>
          <w:rFonts w:ascii="Times New Roman" w:hAnsi="Times New Roman" w:cs="Times New Roman"/>
          <w:sz w:val="22"/>
          <w:szCs w:val="22"/>
        </w:rPr>
        <w:t>dwuch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administratorów backupu do wykonania krytycznych operacji (</w:t>
      </w:r>
      <w:proofErr w:type="spellStart"/>
      <w:r>
        <w:rPr>
          <w:rFonts w:ascii="Times New Roman" w:hAnsi="Times New Roman" w:cs="Times New Roman"/>
          <w:sz w:val="22"/>
          <w:szCs w:val="22"/>
        </w:rPr>
        <w:t>np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skasowanie backupu, dodanie kolejnego administratora)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posiadać integracje z systemami </w:t>
      </w:r>
      <w:proofErr w:type="spellStart"/>
      <w:r>
        <w:rPr>
          <w:rFonts w:ascii="Times New Roman" w:hAnsi="Times New Roman" w:cs="Times New Roman"/>
          <w:sz w:val="22"/>
          <w:szCs w:val="22"/>
        </w:rPr>
        <w:t>zarządania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kluczami szyfrującymi (KMS)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</w:t>
      </w:r>
      <w:r>
        <w:rPr>
          <w:rFonts w:ascii="Times New Roman" w:hAnsi="Times New Roman" w:cs="Times New Roman"/>
          <w:sz w:val="22"/>
          <w:szCs w:val="22"/>
        </w:rPr>
        <w:t>ogramowanie musi posiadać integracje z systemami typu SIEM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posiadać asystenta produktu opartego o AI, pozwalającego na przeszukiwanie dokumentacji technicznej. Powinna istnieć możliwość wyłączenia tej opcji.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wykorzys</w:t>
      </w:r>
      <w:r>
        <w:rPr>
          <w:rFonts w:ascii="Times New Roman" w:hAnsi="Times New Roman" w:cs="Times New Roman"/>
          <w:sz w:val="22"/>
          <w:szCs w:val="22"/>
        </w:rPr>
        <w:t xml:space="preserve">tywać mechanizmy </w:t>
      </w:r>
      <w:proofErr w:type="spellStart"/>
      <w:r>
        <w:rPr>
          <w:rFonts w:ascii="Times New Roman" w:hAnsi="Times New Roman" w:cs="Times New Roman"/>
          <w:sz w:val="22"/>
          <w:szCs w:val="22"/>
        </w:rPr>
        <w:t>Change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Block </w:t>
      </w:r>
      <w:proofErr w:type="spellStart"/>
      <w:r>
        <w:rPr>
          <w:rFonts w:ascii="Times New Roman" w:hAnsi="Times New Roman" w:cs="Times New Roman"/>
          <w:sz w:val="22"/>
          <w:szCs w:val="22"/>
        </w:rPr>
        <w:t>Tracking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na wszystkich wspieranych platformach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wirtualizacyjnych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Mechanizmy muszą być certyfikowane przez dostawcę platformy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wirtualizacyjnej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wykorzystywać mechanizmy śledzenia zmienionych plików przy zabe</w:t>
      </w:r>
      <w:r>
        <w:rPr>
          <w:rFonts w:ascii="Times New Roman" w:hAnsi="Times New Roman" w:cs="Times New Roman"/>
          <w:sz w:val="22"/>
          <w:szCs w:val="22"/>
        </w:rPr>
        <w:t>zpieczaniu udziałów plikowych.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oferować możliwość sterowania obciążeniem </w:t>
      </w:r>
      <w:proofErr w:type="spellStart"/>
      <w:r>
        <w:rPr>
          <w:rFonts w:ascii="Times New Roman" w:hAnsi="Times New Roman" w:cs="Times New Roman"/>
          <w:sz w:val="22"/>
          <w:szCs w:val="22"/>
        </w:rPr>
        <w:t>storage'u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produkcyjnego tak aby nie przekraczane były skonfigurowane przez administratora backupu poziomy latencji. Funkcjonalność ta musi być dostępna </w:t>
      </w:r>
      <w:proofErr w:type="spellStart"/>
      <w:r>
        <w:rPr>
          <w:rFonts w:ascii="Times New Roman" w:hAnsi="Times New Roman" w:cs="Times New Roman"/>
          <w:sz w:val="22"/>
          <w:szCs w:val="22"/>
        </w:rPr>
        <w:t>conajmniej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dla platformy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Hyper-V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zapewniać tworzenie kopii zapasowych z bezpośrednim wykorzystaniem </w:t>
      </w:r>
      <w:proofErr w:type="spellStart"/>
      <w:r>
        <w:rPr>
          <w:rFonts w:ascii="Times New Roman" w:hAnsi="Times New Roman" w:cs="Times New Roman"/>
          <w:sz w:val="22"/>
          <w:szCs w:val="22"/>
        </w:rPr>
        <w:t>snapshotów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macierzowych. Musi też zapewniać odtwarzanie maszyn wirtualnych z takich </w:t>
      </w:r>
      <w:proofErr w:type="spellStart"/>
      <w:r>
        <w:rPr>
          <w:rFonts w:ascii="Times New Roman" w:hAnsi="Times New Roman" w:cs="Times New Roman"/>
          <w:sz w:val="22"/>
          <w:szCs w:val="22"/>
        </w:rPr>
        <w:t>snapshotów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Proces wykonania kopii zapasowej nie może </w:t>
      </w:r>
      <w:r>
        <w:rPr>
          <w:rFonts w:ascii="Times New Roman" w:hAnsi="Times New Roman" w:cs="Times New Roman"/>
          <w:sz w:val="22"/>
          <w:szCs w:val="22"/>
        </w:rPr>
        <w:t xml:space="preserve">wymagać użycia jakichkolwiek hostów tymczasowych. Opisana funkcjonalność powinna działać w środowisku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posiadać wsparcie dla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vSAN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potwierdzone odpowiednią certyfikacją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wspierać kopiowanie backup</w:t>
      </w:r>
      <w:r>
        <w:rPr>
          <w:rFonts w:ascii="Times New Roman" w:hAnsi="Times New Roman" w:cs="Times New Roman"/>
          <w:sz w:val="22"/>
          <w:szCs w:val="22"/>
        </w:rPr>
        <w:t>ów oraz zasobów plikowych na taśmy (LTO oraz IBM 3592).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możliwość tworzenia retencji GFS (</w:t>
      </w:r>
      <w:proofErr w:type="spellStart"/>
      <w:r>
        <w:rPr>
          <w:rFonts w:ascii="Times New Roman" w:hAnsi="Times New Roman" w:cs="Times New Roman"/>
          <w:sz w:val="22"/>
          <w:szCs w:val="22"/>
        </w:rPr>
        <w:t>Grandfather-Father-Son</w:t>
      </w:r>
      <w:proofErr w:type="spellEnd"/>
      <w:r>
        <w:rPr>
          <w:rFonts w:ascii="Times New Roman" w:hAnsi="Times New Roman" w:cs="Times New Roman"/>
          <w:sz w:val="22"/>
          <w:szCs w:val="22"/>
        </w:rPr>
        <w:t>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bezpośrednią integrację z urządzeniami </w:t>
      </w:r>
      <w:proofErr w:type="spellStart"/>
      <w:r>
        <w:rPr>
          <w:rFonts w:ascii="Times New Roman" w:hAnsi="Times New Roman" w:cs="Times New Roman"/>
          <w:sz w:val="22"/>
          <w:szCs w:val="22"/>
        </w:rPr>
        <w:t>deduplikacyjnymi</w:t>
      </w:r>
      <w:proofErr w:type="spellEnd"/>
      <w:r>
        <w:rPr>
          <w:rFonts w:ascii="Times New Roman" w:hAnsi="Times New Roman" w:cs="Times New Roman"/>
          <w:sz w:val="22"/>
          <w:szCs w:val="22"/>
        </w:rPr>
        <w:t>. Minimalnie wsparcie wymagane dl</w:t>
      </w:r>
      <w:r>
        <w:rPr>
          <w:rFonts w:ascii="Times New Roman" w:hAnsi="Times New Roman" w:cs="Times New Roman"/>
          <w:sz w:val="22"/>
          <w:szCs w:val="22"/>
        </w:rPr>
        <w:t xml:space="preserve">a Dell </w:t>
      </w:r>
      <w:proofErr w:type="spellStart"/>
      <w:r>
        <w:rPr>
          <w:rFonts w:ascii="Times New Roman" w:hAnsi="Times New Roman" w:cs="Times New Roman"/>
          <w:sz w:val="22"/>
          <w:szCs w:val="22"/>
        </w:rPr>
        <w:t>DataDomain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HPE </w:t>
      </w:r>
      <w:proofErr w:type="spellStart"/>
      <w:r>
        <w:rPr>
          <w:rFonts w:ascii="Times New Roman" w:hAnsi="Times New Roman" w:cs="Times New Roman"/>
          <w:sz w:val="22"/>
          <w:szCs w:val="22"/>
        </w:rPr>
        <w:t>StoreOnce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ExaGrid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Fujitsu CS800, Quantum </w:t>
      </w:r>
      <w:proofErr w:type="spellStart"/>
      <w:r>
        <w:rPr>
          <w:rFonts w:ascii="Times New Roman" w:hAnsi="Times New Roman" w:cs="Times New Roman"/>
          <w:sz w:val="22"/>
          <w:szCs w:val="22"/>
        </w:rPr>
        <w:t>DXi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oraz </w:t>
      </w:r>
      <w:proofErr w:type="spellStart"/>
      <w:r>
        <w:rPr>
          <w:rFonts w:ascii="Times New Roman" w:hAnsi="Times New Roman" w:cs="Times New Roman"/>
          <w:sz w:val="22"/>
          <w:szCs w:val="22"/>
        </w:rPr>
        <w:t>Infinidat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InfiniGuard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BlockClone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API w przypadku użycia Windows Server 2016, 2019 lub 2022 z systemem pliku </w:t>
      </w:r>
      <w:proofErr w:type="spellStart"/>
      <w:r>
        <w:rPr>
          <w:rFonts w:ascii="Times New Roman" w:hAnsi="Times New Roman" w:cs="Times New Roman"/>
          <w:sz w:val="22"/>
          <w:szCs w:val="22"/>
        </w:rPr>
        <w:t>ReFS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jako repozytorium backupu. Podobna </w:t>
      </w:r>
      <w:r>
        <w:rPr>
          <w:rFonts w:ascii="Times New Roman" w:hAnsi="Times New Roman" w:cs="Times New Roman"/>
          <w:sz w:val="22"/>
          <w:szCs w:val="22"/>
        </w:rPr>
        <w:t xml:space="preserve">funkcjonalność musi być zapewniona dla repozytoriów opartych o </w:t>
      </w:r>
      <w:proofErr w:type="spellStart"/>
      <w:r>
        <w:rPr>
          <w:rFonts w:ascii="Times New Roman" w:hAnsi="Times New Roman" w:cs="Times New Roman"/>
          <w:sz w:val="22"/>
          <w:szCs w:val="22"/>
        </w:rPr>
        <w:t>linuxowy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system plików XFS.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możliwość kopiowania backupów oraz replikacji wirtualnych maszyn z wykorzystaniem wbudowanej akceleracji WAN.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możli</w:t>
      </w:r>
      <w:r>
        <w:rPr>
          <w:rFonts w:ascii="Times New Roman" w:hAnsi="Times New Roman" w:cs="Times New Roman"/>
          <w:sz w:val="22"/>
          <w:szCs w:val="22"/>
        </w:rPr>
        <w:t xml:space="preserve">wość replikacji asynchronicznej włączonych wirtualnych maszyn bezpośrednio z infrastruktury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vSphere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pomiędzy hostami </w:t>
      </w:r>
      <w:proofErr w:type="spellStart"/>
      <w:r>
        <w:rPr>
          <w:rFonts w:ascii="Times New Roman" w:hAnsi="Times New Roman" w:cs="Times New Roman"/>
          <w:sz w:val="22"/>
          <w:szCs w:val="22"/>
        </w:rPr>
        <w:t>ESXi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oraz pomiędzy hostami Hyper-V. Dodatkowo oprogramowanie musi mieć możliwość użycia plików kopii zapasowych jako źródła replikac</w:t>
      </w:r>
      <w:r>
        <w:rPr>
          <w:rFonts w:ascii="Times New Roman" w:hAnsi="Times New Roman" w:cs="Times New Roman"/>
          <w:sz w:val="22"/>
          <w:szCs w:val="22"/>
        </w:rPr>
        <w:t>ji.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mieć możliwość replikacji ciągłej, opartej o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VAIO, włączonych wirtualnych maszyn bezpośrednio z infrastruktury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vSphere</w:t>
      </w:r>
      <w:proofErr w:type="spellEnd"/>
      <w:r>
        <w:rPr>
          <w:rFonts w:ascii="Times New Roman" w:hAnsi="Times New Roman" w:cs="Times New Roman"/>
          <w:sz w:val="22"/>
          <w:szCs w:val="22"/>
        </w:rPr>
        <w:t>. Dla replikacji ciągłej musi być możliwość zdefiniowania dziennika pozwalającego na odzyskanie dany</w:t>
      </w:r>
      <w:r>
        <w:rPr>
          <w:rFonts w:ascii="Times New Roman" w:hAnsi="Times New Roman" w:cs="Times New Roman"/>
          <w:sz w:val="22"/>
          <w:szCs w:val="22"/>
        </w:rPr>
        <w:t>ch z dowolnego punku w ramach ustalonego parametru RPO.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umożliwiać przechowywanie punktów przywracania dla replik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umożliwiać wykorzystanie istniejących w infrastrukturze wirtualnych maszyn jako źródła do dalszej repl</w:t>
      </w:r>
      <w:r>
        <w:rPr>
          <w:rFonts w:ascii="Times New Roman" w:hAnsi="Times New Roman" w:cs="Times New Roman"/>
          <w:sz w:val="22"/>
          <w:szCs w:val="22"/>
        </w:rPr>
        <w:t>ikacji (</w:t>
      </w:r>
      <w:proofErr w:type="spellStart"/>
      <w:r>
        <w:rPr>
          <w:rFonts w:ascii="Times New Roman" w:hAnsi="Times New Roman" w:cs="Times New Roman"/>
          <w:sz w:val="22"/>
          <w:szCs w:val="22"/>
        </w:rPr>
        <w:t>replica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seeding</w:t>
      </w:r>
      <w:proofErr w:type="spellEnd"/>
      <w:r>
        <w:rPr>
          <w:rFonts w:ascii="Times New Roman" w:hAnsi="Times New Roman" w:cs="Times New Roman"/>
          <w:sz w:val="22"/>
          <w:szCs w:val="22"/>
        </w:rPr>
        <w:t>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wykorzystywać wszystkie oferowane przez </w:t>
      </w:r>
      <w:proofErr w:type="spellStart"/>
      <w:r>
        <w:rPr>
          <w:rFonts w:ascii="Times New Roman" w:hAnsi="Times New Roman" w:cs="Times New Roman"/>
          <w:sz w:val="22"/>
          <w:szCs w:val="22"/>
        </w:rPr>
        <w:t>hypervisor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tryby transportu (sieć, hot-</w:t>
      </w:r>
      <w:proofErr w:type="spellStart"/>
      <w:r>
        <w:rPr>
          <w:rFonts w:ascii="Times New Roman" w:hAnsi="Times New Roman" w:cs="Times New Roman"/>
          <w:sz w:val="22"/>
          <w:szCs w:val="22"/>
        </w:rPr>
        <w:t>add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LAN </w:t>
      </w:r>
      <w:proofErr w:type="spellStart"/>
      <w:r>
        <w:rPr>
          <w:rFonts w:ascii="Times New Roman" w:hAnsi="Times New Roman" w:cs="Times New Roman"/>
          <w:sz w:val="22"/>
          <w:szCs w:val="22"/>
        </w:rPr>
        <w:t>Free</w:t>
      </w:r>
      <w:proofErr w:type="spellEnd"/>
      <w:r>
        <w:rPr>
          <w:rFonts w:ascii="Times New Roman" w:hAnsi="Times New Roman" w:cs="Times New Roman"/>
          <w:sz w:val="22"/>
          <w:szCs w:val="22"/>
        </w:rPr>
        <w:t>-SAN)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umożliwiać jednoczesne uruchomienie wielu maszyn wirtualnych bezpośrednio ze </w:t>
      </w:r>
      <w:proofErr w:type="spellStart"/>
      <w:r>
        <w:rPr>
          <w:rFonts w:ascii="Times New Roman" w:hAnsi="Times New Roman" w:cs="Times New Roman"/>
          <w:sz w:val="22"/>
          <w:szCs w:val="22"/>
        </w:rPr>
        <w:t>zdeduplikowanego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skompresowanego pliku backupu, z dowolnego punktu przywracania, bez potrzeby kopiowania jej na </w:t>
      </w:r>
      <w:proofErr w:type="spellStart"/>
      <w:r>
        <w:rPr>
          <w:rFonts w:ascii="Times New Roman" w:hAnsi="Times New Roman" w:cs="Times New Roman"/>
          <w:sz w:val="22"/>
          <w:szCs w:val="22"/>
        </w:rPr>
        <w:t>storage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produkcyjny. Funkcjonalność musi być oferowana dla środowisk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Hyper-V oraz </w:t>
      </w:r>
      <w:proofErr w:type="spellStart"/>
      <w:r>
        <w:rPr>
          <w:rFonts w:ascii="Times New Roman" w:hAnsi="Times New Roman" w:cs="Times New Roman"/>
          <w:sz w:val="22"/>
          <w:szCs w:val="22"/>
        </w:rPr>
        <w:t>Nutanix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AHV niezależnie od rodzaju </w:t>
      </w:r>
      <w:proofErr w:type="spellStart"/>
      <w:r>
        <w:rPr>
          <w:rFonts w:ascii="Times New Roman" w:hAnsi="Times New Roman" w:cs="Times New Roman"/>
          <w:sz w:val="22"/>
          <w:szCs w:val="22"/>
        </w:rPr>
        <w:t>storage’u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użytego do przechowywan</w:t>
      </w:r>
      <w:r>
        <w:rPr>
          <w:rFonts w:ascii="Times New Roman" w:hAnsi="Times New Roman" w:cs="Times New Roman"/>
          <w:sz w:val="22"/>
          <w:szCs w:val="22"/>
        </w:rPr>
        <w:t>ia kopii zapasowych.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Dodatkowo dla środowiska </w:t>
      </w:r>
      <w:proofErr w:type="spellStart"/>
      <w:r>
        <w:rPr>
          <w:rFonts w:ascii="Times New Roman" w:hAnsi="Times New Roman" w:cs="Times New Roman"/>
          <w:sz w:val="22"/>
          <w:szCs w:val="22"/>
        </w:rPr>
        <w:t>vSphere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Hyper-V i </w:t>
      </w:r>
      <w:proofErr w:type="spellStart"/>
      <w:r>
        <w:rPr>
          <w:rFonts w:ascii="Times New Roman" w:hAnsi="Times New Roman" w:cs="Times New Roman"/>
          <w:sz w:val="22"/>
          <w:szCs w:val="22"/>
        </w:rPr>
        <w:t>Nutanix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AHV powyższa funkcjonalność powinna umożliwiać uruchomianie backupu z innych platform (inne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wirtualizatory</w:t>
      </w:r>
      <w:proofErr w:type="spellEnd"/>
      <w:r>
        <w:rPr>
          <w:rFonts w:ascii="Times New Roman" w:hAnsi="Times New Roman" w:cs="Times New Roman"/>
          <w:sz w:val="22"/>
          <w:szCs w:val="22"/>
        </w:rPr>
        <w:t>, maszyny fizyczne oraz chmura publiczna)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pozwalać na mig</w:t>
      </w:r>
      <w:r>
        <w:rPr>
          <w:rFonts w:ascii="Times New Roman" w:hAnsi="Times New Roman" w:cs="Times New Roman"/>
          <w:sz w:val="22"/>
          <w:szCs w:val="22"/>
        </w:rPr>
        <w:t xml:space="preserve">rację on-line tak uruchomionych maszyn na </w:t>
      </w:r>
      <w:proofErr w:type="spellStart"/>
      <w:r>
        <w:rPr>
          <w:rFonts w:ascii="Times New Roman" w:hAnsi="Times New Roman" w:cs="Times New Roman"/>
          <w:sz w:val="22"/>
          <w:szCs w:val="22"/>
        </w:rPr>
        <w:t>storage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produkcyjny. Migracja powinna odbywać się mechanizmami wbudowanymi w </w:t>
      </w:r>
      <w:proofErr w:type="spellStart"/>
      <w:r>
        <w:rPr>
          <w:rFonts w:ascii="Times New Roman" w:hAnsi="Times New Roman" w:cs="Times New Roman"/>
          <w:sz w:val="22"/>
          <w:szCs w:val="22"/>
        </w:rPr>
        <w:t>hypervisor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Jeżeli licencja na </w:t>
      </w:r>
      <w:proofErr w:type="spellStart"/>
      <w:r>
        <w:rPr>
          <w:rFonts w:ascii="Times New Roman" w:hAnsi="Times New Roman" w:cs="Times New Roman"/>
          <w:sz w:val="22"/>
          <w:szCs w:val="22"/>
        </w:rPr>
        <w:t>hypervisor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nie posiada takich funkcjonalności - oprogramowanie musi realizować taką migrację swoimi mechan</w:t>
      </w:r>
      <w:r>
        <w:rPr>
          <w:rFonts w:ascii="Times New Roman" w:hAnsi="Times New Roman" w:cs="Times New Roman"/>
          <w:sz w:val="22"/>
          <w:szCs w:val="22"/>
        </w:rPr>
        <w:t>izmami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pozwalać na zaprezentowanie pojedynczego dysku bezpośrednio z kopii zapasowej do wybranej działającej maszyny wirtualnej </w:t>
      </w:r>
      <w:proofErr w:type="spellStart"/>
      <w:r>
        <w:rPr>
          <w:rFonts w:ascii="Times New Roman" w:hAnsi="Times New Roman" w:cs="Times New Roman"/>
          <w:sz w:val="22"/>
          <w:szCs w:val="22"/>
        </w:rPr>
        <w:t>vSpehre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pozwalać na uruchomienie zasobów plikowych SMB oraz baz danych MS SQL, Oracle i </w:t>
      </w:r>
      <w:proofErr w:type="spellStart"/>
      <w:r>
        <w:rPr>
          <w:rFonts w:ascii="Times New Roman" w:hAnsi="Times New Roman" w:cs="Times New Roman"/>
          <w:sz w:val="22"/>
          <w:szCs w:val="22"/>
        </w:rPr>
        <w:t>PostgreSQL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bezpośrednio ze skompresowanego i skompresowanego pliku backupu. Dodatkowo wspierana musi być migracja on-line tak uruchomionych zasobów na środowisko produkcyjne.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umożliwiać pełne odtworzenie wirtualnej maszyny, plików konfi</w:t>
      </w:r>
      <w:r>
        <w:rPr>
          <w:rFonts w:ascii="Times New Roman" w:hAnsi="Times New Roman" w:cs="Times New Roman"/>
          <w:sz w:val="22"/>
          <w:szCs w:val="22"/>
        </w:rPr>
        <w:t>guracji i dysków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umożliwiać pełne odtworzenie wirtualnej maszyny bezpośrednio do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Azure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Azure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Stack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Amazon EC2 oraz Google </w:t>
      </w:r>
      <w:proofErr w:type="spellStart"/>
      <w:r>
        <w:rPr>
          <w:rFonts w:ascii="Times New Roman" w:hAnsi="Times New Roman" w:cs="Times New Roman"/>
          <w:sz w:val="22"/>
          <w:szCs w:val="22"/>
        </w:rPr>
        <w:t>Cloud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Platform.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umożliwić odtworzenie plików/folderów lub ich uprawnień </w:t>
      </w:r>
      <w:r>
        <w:rPr>
          <w:rFonts w:ascii="Times New Roman" w:hAnsi="Times New Roman" w:cs="Times New Roman"/>
          <w:sz w:val="22"/>
          <w:szCs w:val="22"/>
        </w:rPr>
        <w:t>na maszynę operatora, lub na serwer produkcyjny bez potrzeby użycia agenta instalowanego wewnątrz wirtualnej maszyny. Funkcjonalność ta nie powinna być ograniczona wielkością i liczbą przywracanych plików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możliwość odtworzenia plik</w:t>
      </w:r>
      <w:r>
        <w:rPr>
          <w:rFonts w:ascii="Times New Roman" w:hAnsi="Times New Roman" w:cs="Times New Roman"/>
          <w:sz w:val="22"/>
          <w:szCs w:val="22"/>
        </w:rPr>
        <w:t xml:space="preserve">ów bezpośrednio do maszyny wirtualnej poprzez sieć, przy pomocy natywnego API dla platformy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PowerShell Direct dla platformy Hyper-V.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wspierać odtwarzanie pojedynczych plików z systemów Windows, Linux, BSD, Solaris, Mac, Novell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wspierać przywracanie plików z partycji Linux LVM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Oprogramowanie musi umożliwiać szybkie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obiektów aplikacji bez użycia jakiegokolwiek agenta zainstalowanego wewnątrz maszyny wirtualnej.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wspiera</w:t>
      </w:r>
      <w:r>
        <w:rPr>
          <w:rFonts w:ascii="Times New Roman" w:hAnsi="Times New Roman" w:cs="Times New Roman"/>
          <w:sz w:val="22"/>
          <w:szCs w:val="22"/>
        </w:rPr>
        <w:t xml:space="preserve">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obiektów Active Directory takich jak konta komputerów, konta użytkowników, dowolnych atrybutów, rekordów DNS zintegrowanych z AD, Microsoft System Objects, certyfikatów CA, elementów AD </w:t>
      </w:r>
      <w:proofErr w:type="spellStart"/>
      <w:r>
        <w:rPr>
          <w:rFonts w:ascii="Times New Roman" w:hAnsi="Times New Roman" w:cs="Times New Roman"/>
          <w:sz w:val="22"/>
          <w:szCs w:val="22"/>
        </w:rPr>
        <w:t>Sites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oraz pozwalać na odtworzenie haseł. 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pozwalać na backup i odtwarzanie usługi </w:t>
      </w:r>
      <w:proofErr w:type="spellStart"/>
      <w:r>
        <w:rPr>
          <w:rFonts w:ascii="Times New Roman" w:hAnsi="Times New Roman" w:cs="Times New Roman"/>
          <w:sz w:val="22"/>
          <w:szCs w:val="22"/>
        </w:rPr>
        <w:t>Entra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ID. W szczególności użytkowników, grupy, role, jednostki administracyjne, </w:t>
      </w:r>
      <w:proofErr w:type="spellStart"/>
      <w:r>
        <w:rPr>
          <w:rFonts w:ascii="Times New Roman" w:hAnsi="Times New Roman" w:cs="Times New Roman"/>
          <w:sz w:val="22"/>
          <w:szCs w:val="22"/>
        </w:rPr>
        <w:t>entrprise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applications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oraz logi audytowe i </w:t>
      </w:r>
      <w:proofErr w:type="spellStart"/>
      <w:r>
        <w:rPr>
          <w:rFonts w:ascii="Times New Roman" w:hAnsi="Times New Roman" w:cs="Times New Roman"/>
          <w:sz w:val="22"/>
          <w:szCs w:val="22"/>
        </w:rPr>
        <w:t>sign</w:t>
      </w:r>
      <w:proofErr w:type="spellEnd"/>
      <w:r>
        <w:rPr>
          <w:rFonts w:ascii="Times New Roman" w:hAnsi="Times New Roman" w:cs="Times New Roman"/>
          <w:sz w:val="22"/>
          <w:szCs w:val="22"/>
        </w:rPr>
        <w:t>-in.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Microsoft E</w:t>
      </w:r>
      <w:r>
        <w:rPr>
          <w:rFonts w:ascii="Times New Roman" w:hAnsi="Times New Roman" w:cs="Times New Roman"/>
          <w:sz w:val="22"/>
          <w:szCs w:val="22"/>
        </w:rPr>
        <w:t>xchange 2013SP1 i nowszych (dowolny obiekt w tym obiekty w folderze "</w:t>
      </w:r>
      <w:proofErr w:type="spellStart"/>
      <w:r>
        <w:rPr>
          <w:rFonts w:ascii="Times New Roman" w:hAnsi="Times New Roman" w:cs="Times New Roman"/>
          <w:sz w:val="22"/>
          <w:szCs w:val="22"/>
        </w:rPr>
        <w:t>Permanently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Deleted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Objects"). Odtwarzanie musi być możliwe bezpośrednio do środowiska produkcyjnego.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Microsoft SQL 2008 i nowszych. Od</w:t>
      </w:r>
      <w:r>
        <w:rPr>
          <w:rFonts w:ascii="Times New Roman" w:hAnsi="Times New Roman" w:cs="Times New Roman"/>
          <w:sz w:val="22"/>
          <w:szCs w:val="22"/>
        </w:rPr>
        <w:t>twarzanie musi być możliwe bezpośrednio do środowiska produkcyjnego dla odzysku point-in-</w:t>
      </w:r>
      <w:proofErr w:type="spellStart"/>
      <w:r>
        <w:rPr>
          <w:rFonts w:ascii="Times New Roman" w:hAnsi="Times New Roman" w:cs="Times New Roman"/>
          <w:sz w:val="22"/>
          <w:szCs w:val="22"/>
        </w:rPr>
        <w:t>time</w:t>
      </w:r>
      <w:proofErr w:type="spellEnd"/>
      <w:r>
        <w:rPr>
          <w:rFonts w:ascii="Times New Roman" w:hAnsi="Times New Roman" w:cs="Times New Roman"/>
          <w:sz w:val="22"/>
          <w:szCs w:val="22"/>
        </w:rPr>
        <w:t>, całych baz lub pojedynczych tabeli, widoków oraz procedur.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Microsoft </w:t>
      </w:r>
      <w:proofErr w:type="spellStart"/>
      <w:r>
        <w:rPr>
          <w:rFonts w:ascii="Times New Roman" w:hAnsi="Times New Roman" w:cs="Times New Roman"/>
          <w:sz w:val="22"/>
          <w:szCs w:val="22"/>
        </w:rPr>
        <w:t>Sharepoint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2013 i nowszych. Odtwarzanie </w:t>
      </w:r>
      <w:r>
        <w:rPr>
          <w:rFonts w:ascii="Times New Roman" w:hAnsi="Times New Roman" w:cs="Times New Roman"/>
          <w:sz w:val="22"/>
          <w:szCs w:val="22"/>
        </w:rPr>
        <w:t>musi być możliwe bezpośrednio do środowiska produkcyjnego dla odzysku całych witryn, bibliotek oraz pojedynczych dokumentów wraz z historią ich wersji.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baz danych Oracle z opcją odtwarzanie point-in-</w:t>
      </w:r>
      <w:proofErr w:type="spellStart"/>
      <w:r>
        <w:rPr>
          <w:rFonts w:ascii="Times New Roman" w:hAnsi="Times New Roman" w:cs="Times New Roman"/>
          <w:sz w:val="22"/>
          <w:szCs w:val="22"/>
        </w:rPr>
        <w:t>time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wraz z włączonym Oracle </w:t>
      </w:r>
      <w:proofErr w:type="spellStart"/>
      <w:r>
        <w:rPr>
          <w:rFonts w:ascii="Times New Roman" w:hAnsi="Times New Roman" w:cs="Times New Roman"/>
          <w:sz w:val="22"/>
          <w:szCs w:val="22"/>
        </w:rPr>
        <w:t>DataGuard</w:t>
      </w:r>
      <w:proofErr w:type="spellEnd"/>
      <w:r>
        <w:rPr>
          <w:rFonts w:ascii="Times New Roman" w:hAnsi="Times New Roman" w:cs="Times New Roman"/>
          <w:sz w:val="22"/>
          <w:szCs w:val="22"/>
        </w:rPr>
        <w:t>. Funkcjonalność ta musi być dostępna dla baz uruchomionych w środowiskach Windows oraz Linux.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baz danych </w:t>
      </w:r>
      <w:proofErr w:type="spellStart"/>
      <w:r>
        <w:rPr>
          <w:rFonts w:ascii="Times New Roman" w:hAnsi="Times New Roman" w:cs="Times New Roman"/>
          <w:sz w:val="22"/>
          <w:szCs w:val="22"/>
        </w:rPr>
        <w:t>PostgreSQL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z opcją odtwarzanie point-in-</w:t>
      </w:r>
      <w:proofErr w:type="spellStart"/>
      <w:r>
        <w:rPr>
          <w:rFonts w:ascii="Times New Roman" w:hAnsi="Times New Roman" w:cs="Times New Roman"/>
          <w:sz w:val="22"/>
          <w:szCs w:val="22"/>
        </w:rPr>
        <w:t>time</w:t>
      </w:r>
      <w:proofErr w:type="spellEnd"/>
      <w:r>
        <w:rPr>
          <w:rFonts w:ascii="Times New Roman" w:hAnsi="Times New Roman" w:cs="Times New Roman"/>
          <w:sz w:val="22"/>
          <w:szCs w:val="22"/>
        </w:rPr>
        <w:t>. Funkcjonalność ta m</w:t>
      </w:r>
      <w:r>
        <w:rPr>
          <w:rFonts w:ascii="Times New Roman" w:hAnsi="Times New Roman" w:cs="Times New Roman"/>
          <w:sz w:val="22"/>
          <w:szCs w:val="22"/>
        </w:rPr>
        <w:t>usi być dostępna dla baz uruchomionych w środowiskach Linux.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odtwarzanie baz danych </w:t>
      </w:r>
      <w:proofErr w:type="spellStart"/>
      <w:r>
        <w:rPr>
          <w:rFonts w:ascii="Times New Roman" w:hAnsi="Times New Roman" w:cs="Times New Roman"/>
          <w:sz w:val="22"/>
          <w:szCs w:val="22"/>
        </w:rPr>
        <w:t>MongoDB</w:t>
      </w:r>
      <w:proofErr w:type="spellEnd"/>
      <w:r>
        <w:rPr>
          <w:rFonts w:ascii="Times New Roman" w:hAnsi="Times New Roman" w:cs="Times New Roman"/>
          <w:sz w:val="22"/>
          <w:szCs w:val="22"/>
        </w:rPr>
        <w:t>. Funkcjonalność ta musi być dostępna dla baz uruchomionych w środowiskach Linux.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odt</w:t>
      </w:r>
      <w:r>
        <w:rPr>
          <w:rFonts w:ascii="Times New Roman" w:hAnsi="Times New Roman" w:cs="Times New Roman"/>
          <w:sz w:val="22"/>
          <w:szCs w:val="22"/>
        </w:rPr>
        <w:t>warzanie baz danych SAP HANA do oryginalnej lub innej lokalizacji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posiadać natywną integrację dla backupów wykonywanych poprzez Oracle RMAN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posiadać natywną integrację dla backupów wykonywanych poprzez SAP HANA, SAP </w:t>
      </w:r>
      <w:r>
        <w:rPr>
          <w:rFonts w:ascii="Times New Roman" w:hAnsi="Times New Roman" w:cs="Times New Roman"/>
          <w:sz w:val="22"/>
          <w:szCs w:val="22"/>
        </w:rPr>
        <w:t>Oracle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posiadać natywną integrację dla backupów wykonywanych poprzez MS SQL VDI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posiadać natywną integrację dla backupów wykonywanych poprzez IBM Db2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wspierać także specyficzne metody odtwarzania </w:t>
      </w:r>
      <w:r>
        <w:rPr>
          <w:rFonts w:ascii="Times New Roman" w:hAnsi="Times New Roman" w:cs="Times New Roman"/>
          <w:sz w:val="22"/>
          <w:szCs w:val="22"/>
        </w:rPr>
        <w:t>w tym "</w:t>
      </w:r>
      <w:proofErr w:type="spellStart"/>
      <w:r>
        <w:rPr>
          <w:rFonts w:ascii="Times New Roman" w:hAnsi="Times New Roman" w:cs="Times New Roman"/>
          <w:sz w:val="22"/>
          <w:szCs w:val="22"/>
        </w:rPr>
        <w:t>reverse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CBT" oraz odtwarzanie z wykorzystaniem sieci SAN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dawać możliwość stworzenia laboratorium (izolowane środowisko) dla </w:t>
      </w:r>
      <w:proofErr w:type="spellStart"/>
      <w:r>
        <w:rPr>
          <w:rFonts w:ascii="Times New Roman" w:hAnsi="Times New Roman" w:cs="Times New Roman"/>
          <w:sz w:val="22"/>
          <w:szCs w:val="22"/>
        </w:rPr>
        <w:t>vSphere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Hyper-V używając wirtualnych maszyn uruchamianych bezpośrednio z plików backupu. Powyższa funkc</w:t>
      </w:r>
      <w:r>
        <w:rPr>
          <w:rFonts w:ascii="Times New Roman" w:hAnsi="Times New Roman" w:cs="Times New Roman"/>
          <w:sz w:val="22"/>
          <w:szCs w:val="22"/>
        </w:rPr>
        <w:t xml:space="preserve">jonalność powinna umożliwiać uruchomianie backupu z innych platform (inne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wirtualizatory</w:t>
      </w:r>
      <w:proofErr w:type="spellEnd"/>
      <w:r>
        <w:rPr>
          <w:rFonts w:ascii="Times New Roman" w:hAnsi="Times New Roman" w:cs="Times New Roman"/>
          <w:sz w:val="22"/>
          <w:szCs w:val="22"/>
        </w:rPr>
        <w:t>, maszyny fizyczne oraz chmura publiczna)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Dla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VMware’a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oprogramowanie musi pozwalać na uruchomienie takiego środowiska dla replik maszyn wirtualnych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</w:t>
      </w:r>
      <w:r>
        <w:rPr>
          <w:rFonts w:ascii="Times New Roman" w:hAnsi="Times New Roman" w:cs="Times New Roman"/>
          <w:sz w:val="22"/>
          <w:szCs w:val="22"/>
        </w:rPr>
        <w:t xml:space="preserve"> umożliwiać weryfikację odtwarzalności wielu wirtualnych maszyn jednocześnie z dowolnego backupu według własnego harmonogramu w izolowanym środowisku. Testy powinny uwzględniać możliwość uruchomienia dowolnego skryptu testującego również aplikację uruchomi</w:t>
      </w:r>
      <w:r>
        <w:rPr>
          <w:rFonts w:ascii="Times New Roman" w:hAnsi="Times New Roman" w:cs="Times New Roman"/>
          <w:sz w:val="22"/>
          <w:szCs w:val="22"/>
        </w:rPr>
        <w:t>oną na wirtualnej maszynie. Testy muszą być przeprowadzone bez interakcji z administratorem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Oprogramowanie musi umożliwiać integrację z oprogramowaniem antywirusowym w celu wykonania skanu zawartości pliku backupowego przed odtworzeniem jakichkolwiek danyc</w:t>
      </w:r>
      <w:r>
        <w:rPr>
          <w:rFonts w:ascii="Times New Roman" w:hAnsi="Times New Roman" w:cs="Times New Roman"/>
          <w:sz w:val="22"/>
          <w:szCs w:val="22"/>
        </w:rPr>
        <w:t xml:space="preserve">h. Integracja musi być zapewniona minimalnie dla Windows </w:t>
      </w:r>
      <w:proofErr w:type="spellStart"/>
      <w:r>
        <w:rPr>
          <w:rFonts w:ascii="Times New Roman" w:hAnsi="Times New Roman" w:cs="Times New Roman"/>
          <w:sz w:val="22"/>
          <w:szCs w:val="22"/>
        </w:rPr>
        <w:t>Defender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Symantec </w:t>
      </w:r>
      <w:proofErr w:type="spellStart"/>
      <w:r>
        <w:rPr>
          <w:rFonts w:ascii="Times New Roman" w:hAnsi="Times New Roman" w:cs="Times New Roman"/>
          <w:sz w:val="22"/>
          <w:szCs w:val="22"/>
        </w:rPr>
        <w:t>Protection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Engine oraz ESET NOD32.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posiadać swój wbudowany program antywirusowy zoptymalizowany do przeszukiwania kopii </w:t>
      </w:r>
      <w:proofErr w:type="spellStart"/>
      <w:r>
        <w:rPr>
          <w:rFonts w:ascii="Times New Roman" w:hAnsi="Times New Roman" w:cs="Times New Roman"/>
          <w:sz w:val="22"/>
          <w:szCs w:val="22"/>
        </w:rPr>
        <w:t>backpowych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analizowa</w:t>
      </w:r>
      <w:r>
        <w:rPr>
          <w:rFonts w:ascii="Times New Roman" w:hAnsi="Times New Roman" w:cs="Times New Roman"/>
          <w:sz w:val="22"/>
          <w:szCs w:val="22"/>
        </w:rPr>
        <w:t xml:space="preserve">ć indeksy systemów plików zabezpieczanych maszyn w poszukiwaniu rozszerzeń, notatek żądania okupu oraz innych oznak obecności </w:t>
      </w:r>
      <w:proofErr w:type="spellStart"/>
      <w:r>
        <w:rPr>
          <w:rFonts w:ascii="Times New Roman" w:hAnsi="Times New Roman" w:cs="Times New Roman"/>
          <w:sz w:val="22"/>
          <w:szCs w:val="22"/>
        </w:rPr>
        <w:t>ransomware</w:t>
      </w:r>
      <w:proofErr w:type="spellEnd"/>
      <w:r>
        <w:rPr>
          <w:rFonts w:ascii="Times New Roman" w:hAnsi="Times New Roman" w:cs="Times New Roman"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sz w:val="22"/>
          <w:szCs w:val="22"/>
        </w:rPr>
        <w:t>malware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możliwość skanowania plików backupu przy pomocy znanych sygnatur złośliwego oprogramow</w:t>
      </w:r>
      <w:r>
        <w:rPr>
          <w:rFonts w:ascii="Times New Roman" w:hAnsi="Times New Roman" w:cs="Times New Roman"/>
          <w:sz w:val="22"/>
          <w:szCs w:val="22"/>
        </w:rPr>
        <w:t>ania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Oprogramowanie, bazując na </w:t>
      </w:r>
      <w:proofErr w:type="spellStart"/>
      <w:r>
        <w:rPr>
          <w:rFonts w:ascii="Times New Roman" w:hAnsi="Times New Roman" w:cs="Times New Roman"/>
          <w:sz w:val="22"/>
          <w:szCs w:val="22"/>
        </w:rPr>
        <w:t>wyuczonynym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modelu maszynowym (</w:t>
      </w:r>
      <w:proofErr w:type="spellStart"/>
      <w:r>
        <w:rPr>
          <w:rFonts w:ascii="Times New Roman" w:hAnsi="Times New Roman" w:cs="Times New Roman"/>
          <w:sz w:val="22"/>
          <w:szCs w:val="22"/>
        </w:rPr>
        <w:t>machine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learning) musi w locie wykrywać oznaki złośliwego oprogramowania (</w:t>
      </w:r>
      <w:proofErr w:type="spellStart"/>
      <w:r>
        <w:rPr>
          <w:rFonts w:ascii="Times New Roman" w:hAnsi="Times New Roman" w:cs="Times New Roman"/>
          <w:sz w:val="22"/>
          <w:szCs w:val="22"/>
        </w:rPr>
        <w:t>malware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ransomware</w:t>
      </w:r>
      <w:proofErr w:type="spellEnd"/>
      <w:r>
        <w:rPr>
          <w:rFonts w:ascii="Times New Roman" w:hAnsi="Times New Roman" w:cs="Times New Roman"/>
          <w:sz w:val="22"/>
          <w:szCs w:val="22"/>
        </w:rPr>
        <w:t>) oraz cyberataków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Oprogramowanie musi posiadać mechanizm wykrywania oznak ataku </w:t>
      </w:r>
      <w:proofErr w:type="spellStart"/>
      <w:r>
        <w:rPr>
          <w:rFonts w:ascii="Times New Roman" w:hAnsi="Times New Roman" w:cs="Times New Roman"/>
          <w:sz w:val="22"/>
          <w:szCs w:val="22"/>
        </w:rPr>
        <w:t>hakerskiego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tzw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Ind</w:t>
      </w:r>
      <w:r>
        <w:rPr>
          <w:rFonts w:ascii="Times New Roman" w:hAnsi="Times New Roman" w:cs="Times New Roman"/>
          <w:sz w:val="22"/>
          <w:szCs w:val="22"/>
        </w:rPr>
        <w:t>icators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of </w:t>
      </w:r>
      <w:proofErr w:type="spellStart"/>
      <w:r>
        <w:rPr>
          <w:rFonts w:ascii="Times New Roman" w:hAnsi="Times New Roman" w:cs="Times New Roman"/>
          <w:sz w:val="22"/>
          <w:szCs w:val="22"/>
        </w:rPr>
        <w:t>Compromise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umożliwiać dwuetapowe, automatyczne, odtwarzanie maszyn wirtualnych z możliwością wstrzyknięcia dowolnego skryptu przed odtworzeniem danych do środowiska produkcyjnego.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Oprogramowanie musi mieć możliwość integracji</w:t>
      </w:r>
      <w:r>
        <w:rPr>
          <w:rFonts w:ascii="Times New Roman" w:hAnsi="Times New Roman" w:cs="Times New Roman"/>
          <w:sz w:val="22"/>
          <w:szCs w:val="22"/>
        </w:rPr>
        <w:t xml:space="preserve"> z innymi systemami bezpieczeństwa - minimum </w:t>
      </w:r>
      <w:proofErr w:type="spellStart"/>
      <w:r>
        <w:rPr>
          <w:rFonts w:ascii="Times New Roman" w:hAnsi="Times New Roman" w:cs="Times New Roman"/>
          <w:sz w:val="22"/>
          <w:szCs w:val="22"/>
        </w:rPr>
        <w:t>Splunk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Palo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Alto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Networks XSOAR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zapewnić możliwość monitorowania środowiska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opartego na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vSphere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Microsoft Hyper-V bez potrzeby korzystania z narzędzi firm trzecich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</w:t>
      </w:r>
      <w:r>
        <w:rPr>
          <w:rFonts w:ascii="Times New Roman" w:hAnsi="Times New Roman" w:cs="Times New Roman"/>
          <w:sz w:val="22"/>
          <w:szCs w:val="22"/>
        </w:rPr>
        <w:t xml:space="preserve">musi umożliwiać monitorowanie środowiska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wersji 6.x, 7.x oraz 8.0 – zarówno w bezpłatnej wersji </w:t>
      </w:r>
      <w:proofErr w:type="spellStart"/>
      <w:r>
        <w:rPr>
          <w:rFonts w:ascii="Times New Roman" w:hAnsi="Times New Roman" w:cs="Times New Roman"/>
          <w:sz w:val="22"/>
          <w:szCs w:val="22"/>
        </w:rPr>
        <w:t>ESXi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jak i w pełnej wersji ESX/</w:t>
      </w:r>
      <w:proofErr w:type="spellStart"/>
      <w:r>
        <w:rPr>
          <w:rFonts w:ascii="Times New Roman" w:hAnsi="Times New Roman" w:cs="Times New Roman"/>
          <w:sz w:val="22"/>
          <w:szCs w:val="22"/>
        </w:rPr>
        <w:t>ESXi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zarządzane przez konsole </w:t>
      </w:r>
      <w:proofErr w:type="spellStart"/>
      <w:r>
        <w:rPr>
          <w:rFonts w:ascii="Times New Roman" w:hAnsi="Times New Roman" w:cs="Times New Roman"/>
          <w:sz w:val="22"/>
          <w:szCs w:val="22"/>
        </w:rPr>
        <w:t>vCenter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Server lub pracujące samodzielnie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umożliwiać monitor</w:t>
      </w:r>
      <w:r>
        <w:rPr>
          <w:rFonts w:ascii="Times New Roman" w:hAnsi="Times New Roman" w:cs="Times New Roman"/>
          <w:sz w:val="22"/>
          <w:szCs w:val="22"/>
        </w:rPr>
        <w:t xml:space="preserve">owanie środowiska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Microsoft Hyper-V 2012, 2012R2, 2016, 2019, 2022 oraz 2025 zarówno w wersji darmowej jak i zawartej w płatnej licencji Microsoft Windows Server zarządzane poprzez System Center Virtual Machine Manager lub pracujące samod</w:t>
      </w:r>
      <w:r>
        <w:rPr>
          <w:rFonts w:ascii="Times New Roman" w:hAnsi="Times New Roman" w:cs="Times New Roman"/>
          <w:sz w:val="22"/>
          <w:szCs w:val="22"/>
        </w:rPr>
        <w:t>zielnie.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umożliwiać kategoryzacje obiektów infrastruktury wirtualnej niezależnie od hierarchii stworzonej w </w:t>
      </w:r>
      <w:proofErr w:type="spellStart"/>
      <w:r>
        <w:rPr>
          <w:rFonts w:ascii="Times New Roman" w:hAnsi="Times New Roman" w:cs="Times New Roman"/>
          <w:sz w:val="22"/>
          <w:szCs w:val="22"/>
        </w:rPr>
        <w:t>vCenter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umożliwiać tworzenie alarmów dla całych grup wirtualnych maszyn jak i pojedynczych wirtualnych maszyn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da</w:t>
      </w:r>
      <w:r>
        <w:rPr>
          <w:rFonts w:ascii="Times New Roman" w:hAnsi="Times New Roman" w:cs="Times New Roman"/>
          <w:sz w:val="22"/>
          <w:szCs w:val="22"/>
        </w:rPr>
        <w:t>wać możliwość układania terminarza raportów i wysyłania tych raportów przy pomocy poczty elektronicznej w formacie HTML oraz Excel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dawać możliwość podłączenia się do kilku instancji </w:t>
      </w:r>
      <w:proofErr w:type="spellStart"/>
      <w:r>
        <w:rPr>
          <w:rFonts w:ascii="Times New Roman" w:hAnsi="Times New Roman" w:cs="Times New Roman"/>
          <w:sz w:val="22"/>
          <w:szCs w:val="22"/>
        </w:rPr>
        <w:t>vCenter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Server i serwerów Hyper-V jednocześnie, w celu central</w:t>
      </w:r>
      <w:r>
        <w:rPr>
          <w:rFonts w:ascii="Times New Roman" w:hAnsi="Times New Roman" w:cs="Times New Roman"/>
          <w:sz w:val="22"/>
          <w:szCs w:val="22"/>
        </w:rPr>
        <w:t>nego monitorowania wielu środowisk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wbudowane predefiniowane zestawy alarmów wraz z możliwością tworzenia własnych alarmów i zdarzeń przez administratora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wbudowane połączenie z bazą wiedzy opisującą problemy z predefiniowan</w:t>
      </w:r>
      <w:r>
        <w:rPr>
          <w:rFonts w:ascii="Times New Roman" w:hAnsi="Times New Roman" w:cs="Times New Roman"/>
          <w:sz w:val="22"/>
          <w:szCs w:val="22"/>
        </w:rPr>
        <w:t>ych alarmów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centralną konsolę z sumarycznym podglądem wszystkich obiektów infrastruktury wirtualnej (ang. Dashboard)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monitorowania platformy sprzętowej, na której jest zainstalowana infrastruktura wirtualna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</w:t>
      </w:r>
      <w:r>
        <w:rPr>
          <w:rFonts w:ascii="Times New Roman" w:hAnsi="Times New Roman" w:cs="Times New Roman"/>
          <w:sz w:val="22"/>
          <w:szCs w:val="22"/>
        </w:rPr>
        <w:t>m musi zapewnić możliwość podłączenia się do wirtualnej maszyny (tryb konsoli) bezpośrednio z narzędzia monitorującego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integracji z oprogramowaniem do tworzenia kopii zapasowych tego samego producenta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System musi mieć możliwość m</w:t>
      </w:r>
      <w:r>
        <w:rPr>
          <w:rFonts w:ascii="Times New Roman" w:hAnsi="Times New Roman" w:cs="Times New Roman"/>
          <w:sz w:val="22"/>
          <w:szCs w:val="22"/>
        </w:rPr>
        <w:t xml:space="preserve">onitorowania obciążenia serwerów backupowych, ilości zabezpieczanych danych oraz statusu zadań kopii zapasowych, replikacji oraz weryfikacji </w:t>
      </w:r>
      <w:proofErr w:type="spellStart"/>
      <w:r>
        <w:rPr>
          <w:rFonts w:ascii="Times New Roman" w:hAnsi="Times New Roman" w:cs="Times New Roman"/>
          <w:sz w:val="22"/>
          <w:szCs w:val="22"/>
        </w:rPr>
        <w:t>odzyskiwalności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maszyn wirtualnych.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oferować inteligentną diagnostykę rozwiązania backupowego poprzez </w:t>
      </w:r>
      <w:r>
        <w:rPr>
          <w:rFonts w:ascii="Times New Roman" w:hAnsi="Times New Roman" w:cs="Times New Roman"/>
          <w:sz w:val="22"/>
          <w:szCs w:val="22"/>
        </w:rPr>
        <w:t>monitorowanie logów celem wykrycia znanych problemów oraz błędów konfiguracyjnych w celu wskazania rozwiązania bez potrzeby otwierania zgłoszenia suportowego oraz bez potrzeby wysyłania jakichkolwiek danych diagnostycznych do producenta oprogramowania back</w:t>
      </w:r>
      <w:r>
        <w:rPr>
          <w:rFonts w:ascii="Times New Roman" w:hAnsi="Times New Roman" w:cs="Times New Roman"/>
          <w:sz w:val="22"/>
          <w:szCs w:val="22"/>
        </w:rPr>
        <w:t>upu.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mieć możliwość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monitorowania infrastruktury, zależnego od uprawnień nadanym użytkownikom dla platformy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umożliwiać raportowanie środowiska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wersji 6.x, 7.x oraz 8.0 – zarówno w bezpł</w:t>
      </w:r>
      <w:r>
        <w:rPr>
          <w:rFonts w:ascii="Times New Roman" w:hAnsi="Times New Roman" w:cs="Times New Roman"/>
          <w:sz w:val="22"/>
          <w:szCs w:val="22"/>
        </w:rPr>
        <w:t xml:space="preserve">atnej wersji </w:t>
      </w:r>
      <w:proofErr w:type="spellStart"/>
      <w:r>
        <w:rPr>
          <w:rFonts w:ascii="Times New Roman" w:hAnsi="Times New Roman" w:cs="Times New Roman"/>
          <w:sz w:val="22"/>
          <w:szCs w:val="22"/>
        </w:rPr>
        <w:t>ESXi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jak i w pełnej wersji ESX/</w:t>
      </w:r>
      <w:proofErr w:type="spellStart"/>
      <w:r>
        <w:rPr>
          <w:rFonts w:ascii="Times New Roman" w:hAnsi="Times New Roman" w:cs="Times New Roman"/>
          <w:sz w:val="22"/>
          <w:szCs w:val="22"/>
        </w:rPr>
        <w:t>ESXi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zarządzane przez konsole </w:t>
      </w:r>
      <w:proofErr w:type="spellStart"/>
      <w:r>
        <w:rPr>
          <w:rFonts w:ascii="Times New Roman" w:hAnsi="Times New Roman" w:cs="Times New Roman"/>
          <w:sz w:val="22"/>
          <w:szCs w:val="22"/>
        </w:rPr>
        <w:t>vCenter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Server lub pracujące samodzielnie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umożliwiać raportowanie środowiska </w:t>
      </w:r>
      <w:proofErr w:type="spellStart"/>
      <w:r>
        <w:rPr>
          <w:rFonts w:ascii="Times New Roman" w:hAnsi="Times New Roman" w:cs="Times New Roman"/>
          <w:sz w:val="22"/>
          <w:szCs w:val="22"/>
        </w:rPr>
        <w:t>wirtualizacyjnego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Microsoft Hyper-V 2012, 2012R2, 2016, 2019, 2022 oraz 2025 zarówno w wersji</w:t>
      </w:r>
      <w:r>
        <w:rPr>
          <w:rFonts w:ascii="Times New Roman" w:hAnsi="Times New Roman" w:cs="Times New Roman"/>
          <w:sz w:val="22"/>
          <w:szCs w:val="22"/>
        </w:rPr>
        <w:t xml:space="preserve"> darmowej jak i zawartej w płatnej licencji Microsoft Windows Server zarządzane poprzez System Center Virtual Machine Manager lub pracujące samodzielnie.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wspierać wiele instancji </w:t>
      </w:r>
      <w:proofErr w:type="spellStart"/>
      <w:r>
        <w:rPr>
          <w:rFonts w:ascii="Times New Roman" w:hAnsi="Times New Roman" w:cs="Times New Roman"/>
          <w:sz w:val="22"/>
          <w:szCs w:val="22"/>
        </w:rPr>
        <w:t>vCenter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Server i Microsoft Hyper-V jednocześnie bez konieczności </w:t>
      </w:r>
      <w:r>
        <w:rPr>
          <w:rFonts w:ascii="Times New Roman" w:hAnsi="Times New Roman" w:cs="Times New Roman"/>
          <w:sz w:val="22"/>
          <w:szCs w:val="22"/>
        </w:rPr>
        <w:t>instalowania dodatkowych modułów.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być systemem </w:t>
      </w:r>
      <w:proofErr w:type="spellStart"/>
      <w:r>
        <w:rPr>
          <w:rFonts w:ascii="Times New Roman" w:hAnsi="Times New Roman" w:cs="Times New Roman"/>
          <w:sz w:val="22"/>
          <w:szCs w:val="22"/>
        </w:rPr>
        <w:t>bezagentowym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Nie dopuszcza się możliwości instalowania przez system agentów na monitorowanych hostach </w:t>
      </w:r>
      <w:proofErr w:type="spellStart"/>
      <w:r>
        <w:rPr>
          <w:rFonts w:ascii="Times New Roman" w:hAnsi="Times New Roman" w:cs="Times New Roman"/>
          <w:sz w:val="22"/>
          <w:szCs w:val="22"/>
        </w:rPr>
        <w:t>ESXi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 Hyper-V</w:t>
      </w:r>
    </w:p>
    <w:p w:rsidR="00084844" w:rsidRDefault="004B3C51">
      <w:pPr>
        <w:pStyle w:val="Akapitzlis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eksportowania raportów do formatów Microsoft Word, M</w:t>
      </w:r>
      <w:r>
        <w:rPr>
          <w:rFonts w:ascii="Times New Roman" w:hAnsi="Times New Roman" w:cs="Times New Roman"/>
          <w:sz w:val="22"/>
          <w:szCs w:val="22"/>
        </w:rPr>
        <w:t>icrosoft Excel, Microsoft Visio, Adobe PDF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ustawienia harmonogramu kolekcji danych z monitorowanych systemów jak również możliwość tworzenia zadań kolekcjonowania danych ad-hoc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mieć możliwość ustawienia harmonogramu </w:t>
      </w:r>
      <w:r>
        <w:rPr>
          <w:rFonts w:ascii="Times New Roman" w:hAnsi="Times New Roman" w:cs="Times New Roman"/>
          <w:sz w:val="22"/>
          <w:szCs w:val="22"/>
        </w:rPr>
        <w:t>generowania raportów i dostarczania ich do odbiorców w określonych przez administratora interwałach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w raportach musi mieć możliwość uwzględniania informacji o zmianach konfiguracji monitorowanych systemów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generowania rapor</w:t>
      </w:r>
      <w:r>
        <w:rPr>
          <w:rFonts w:ascii="Times New Roman" w:hAnsi="Times New Roman" w:cs="Times New Roman"/>
          <w:sz w:val="22"/>
          <w:szCs w:val="22"/>
        </w:rPr>
        <w:t>tów z dowolnego punktu w czasie zakładając, że informacje z tego czasu nie zostały usunięte z bazy danych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posiadać predefiniowane szablony z możliwością tworzenia nowych jak i modyfikacji wbudowanych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analizowania „prz</w:t>
      </w:r>
      <w:r>
        <w:rPr>
          <w:rFonts w:ascii="Times New Roman" w:hAnsi="Times New Roman" w:cs="Times New Roman"/>
          <w:sz w:val="22"/>
          <w:szCs w:val="22"/>
        </w:rPr>
        <w:t>eszacowanych” wirtualnych maszyn wraz z sugestią zmian w celu optymalnego wykorzystania fizycznej infrastruktury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generowania raportów na podstawie danych uzyskanych z oprogramowania do tworzenia kopii zapasowych tego samego produ</w:t>
      </w:r>
      <w:r>
        <w:rPr>
          <w:rFonts w:ascii="Times New Roman" w:hAnsi="Times New Roman" w:cs="Times New Roman"/>
          <w:sz w:val="22"/>
          <w:szCs w:val="22"/>
        </w:rPr>
        <w:t>centa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generowania raportu dotyczącego zabezpieczanych maszyn, zdefiniowanych zadań tworzenia kopii zapasowych oraz replikacji jak również wykorzystania zasobów serwerów backupowych.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mieć możliwość generowania raportu </w:t>
      </w:r>
      <w:r>
        <w:rPr>
          <w:rFonts w:ascii="Times New Roman" w:hAnsi="Times New Roman" w:cs="Times New Roman"/>
          <w:sz w:val="22"/>
          <w:szCs w:val="22"/>
        </w:rPr>
        <w:t>planowania pojemności (</w:t>
      </w:r>
      <w:proofErr w:type="spellStart"/>
      <w:r>
        <w:rPr>
          <w:rFonts w:ascii="Times New Roman" w:hAnsi="Times New Roman" w:cs="Times New Roman"/>
          <w:sz w:val="22"/>
          <w:szCs w:val="22"/>
        </w:rPr>
        <w:t>capacity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planning</w:t>
      </w:r>
      <w:proofErr w:type="spellEnd"/>
      <w:r>
        <w:rPr>
          <w:rFonts w:ascii="Times New Roman" w:hAnsi="Times New Roman" w:cs="Times New Roman"/>
          <w:sz w:val="22"/>
          <w:szCs w:val="22"/>
        </w:rPr>
        <w:t>) bazującego na scenariuszach ‘</w:t>
      </w:r>
      <w:proofErr w:type="spellStart"/>
      <w:r>
        <w:rPr>
          <w:rFonts w:ascii="Times New Roman" w:hAnsi="Times New Roman" w:cs="Times New Roman"/>
          <w:sz w:val="22"/>
          <w:szCs w:val="22"/>
        </w:rPr>
        <w:t>what-if</w:t>
      </w:r>
      <w:proofErr w:type="spellEnd"/>
      <w:r>
        <w:rPr>
          <w:rFonts w:ascii="Times New Roman" w:hAnsi="Times New Roman" w:cs="Times New Roman"/>
          <w:sz w:val="22"/>
          <w:szCs w:val="22"/>
        </w:rPr>
        <w:t>’.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System musi mieć możliwość </w:t>
      </w:r>
      <w:proofErr w:type="spellStart"/>
      <w:r>
        <w:rPr>
          <w:rFonts w:ascii="Times New Roman" w:hAnsi="Times New Roman" w:cs="Times New Roman"/>
          <w:sz w:val="22"/>
          <w:szCs w:val="22"/>
        </w:rPr>
        <w:t>granularnego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raportowania infrastruktury, zależnego od uprawnień nadanym użytkownikom dla platformy </w:t>
      </w:r>
      <w:proofErr w:type="spellStart"/>
      <w:r>
        <w:rPr>
          <w:rFonts w:ascii="Times New Roman" w:hAnsi="Times New Roman" w:cs="Times New Roman"/>
          <w:sz w:val="22"/>
          <w:szCs w:val="22"/>
        </w:rPr>
        <w:t>VMware</w:t>
      </w:r>
      <w:proofErr w:type="spellEnd"/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generowania ra</w:t>
      </w:r>
      <w:r>
        <w:rPr>
          <w:rFonts w:ascii="Times New Roman" w:hAnsi="Times New Roman" w:cs="Times New Roman"/>
          <w:sz w:val="22"/>
          <w:szCs w:val="22"/>
        </w:rPr>
        <w:t>portów dotyczących tzw. migawek-sierot (</w:t>
      </w:r>
      <w:proofErr w:type="spellStart"/>
      <w:r>
        <w:rPr>
          <w:rFonts w:ascii="Times New Roman" w:hAnsi="Times New Roman" w:cs="Times New Roman"/>
          <w:sz w:val="22"/>
          <w:szCs w:val="22"/>
        </w:rPr>
        <w:t>orphaned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snapshots</w:t>
      </w:r>
      <w:proofErr w:type="spellEnd"/>
      <w:r>
        <w:rPr>
          <w:rFonts w:ascii="Times New Roman" w:hAnsi="Times New Roman" w:cs="Times New Roman"/>
          <w:sz w:val="22"/>
          <w:szCs w:val="22"/>
        </w:rPr>
        <w:t>)</w:t>
      </w:r>
    </w:p>
    <w:p w:rsidR="00084844" w:rsidRDefault="004B3C51">
      <w:pPr>
        <w:pStyle w:val="Akapitzlist"/>
        <w:ind w:left="90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System musi mieć możliwość generowania personalizowanych raportów zawierających informacje z dowolnych predefiniowanych raportów w pojedynczym dokumencie</w:t>
      </w:r>
    </w:p>
    <w:p w:rsidR="00084844" w:rsidRDefault="004B3C51">
      <w:pPr>
        <w:pStyle w:val="Nagwek2"/>
        <w:widowControl/>
        <w:numPr>
          <w:ilvl w:val="0"/>
          <w:numId w:val="18"/>
        </w:numPr>
        <w:spacing w:before="0" w:after="80" w:line="276" w:lineRule="auto"/>
        <w:textAlignment w:val="auto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5" w:name="_Toc190718153"/>
      <w:r>
        <w:rPr>
          <w:rFonts w:ascii="Times New Roman" w:hAnsi="Times New Roman" w:cs="Times New Roman"/>
          <w:b/>
          <w:color w:val="auto"/>
        </w:rPr>
        <w:lastRenderedPageBreak/>
        <w:t>Wdrożenie i dokumentacja</w:t>
      </w:r>
      <w:bookmarkEnd w:id="15"/>
    </w:p>
    <w:p w:rsidR="00084844" w:rsidRDefault="004B3C5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Fizyczna instalac</w:t>
      </w:r>
      <w:r>
        <w:rPr>
          <w:rFonts w:ascii="Times New Roman" w:hAnsi="Times New Roman" w:cs="Times New Roman"/>
          <w:sz w:val="22"/>
          <w:szCs w:val="22"/>
        </w:rPr>
        <w:t>ja urządzeń w miejscu wskazanym przez Zamawiającego. Zamawiający dysponuje szafami RACK oraz ma przygotowane wyprowadzenie zasilania dla urządzeń.</w:t>
      </w:r>
    </w:p>
    <w:p w:rsidR="00084844" w:rsidRDefault="004B3C51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Okablowanie urządzeń dla ruchu LAN, SAN i zarządzanie: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Podłączenie LAN ma być wykonane do istniejącej infras</w:t>
      </w:r>
      <w:r>
        <w:rPr>
          <w:rFonts w:ascii="Times New Roman" w:hAnsi="Times New Roman" w:cs="Times New Roman"/>
          <w:sz w:val="22"/>
          <w:szCs w:val="22"/>
        </w:rPr>
        <w:t>truktury sieciowej Zamawiającego. Zamawiający dysponuje przełącznikami sieciowymi z portami o przepustowości 10Gb SFP+ / 25Gb SFP28 i wkładkami optycznymi w ilości odpowiedniej dla oferowanej infrastruktury.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Podłączenie SAN serwerów do macierzy ma być wyko</w:t>
      </w:r>
      <w:r>
        <w:rPr>
          <w:rFonts w:ascii="Times New Roman" w:hAnsi="Times New Roman" w:cs="Times New Roman"/>
          <w:sz w:val="22"/>
          <w:szCs w:val="22"/>
        </w:rPr>
        <w:t>nane bezpośrednio bez urządzeń pośredniczących.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Podłączenie dla zarządzania portami miedzianymi do przełączników będących w posiadaniu Zamawiającego.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ramach dostarczonych urządzeń należy dostarczyć wszelkie okablowanie miedziane i optyczne oraz wkładki </w:t>
      </w:r>
      <w:r>
        <w:rPr>
          <w:rFonts w:ascii="Times New Roman" w:hAnsi="Times New Roman" w:cs="Times New Roman"/>
          <w:sz w:val="22"/>
          <w:szCs w:val="22"/>
        </w:rPr>
        <w:t xml:space="preserve">optyczne potrzebne do podłączenia urządzeń w sposób </w:t>
      </w:r>
      <w:proofErr w:type="spellStart"/>
      <w:r>
        <w:rPr>
          <w:rFonts w:ascii="Times New Roman" w:hAnsi="Times New Roman" w:cs="Times New Roman"/>
          <w:sz w:val="22"/>
          <w:szCs w:val="22"/>
        </w:rPr>
        <w:t>redundanty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dla ruchu LAN i SAN oraz dla ruchu systemów zarządzania.</w:t>
      </w:r>
    </w:p>
    <w:p w:rsidR="00084844" w:rsidRDefault="004B3C5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Instalacja i inicjalizacja macierzy dyskowej w sposób zalecany i udokumentowany przez producenta macierzy. W procesie instalacji zasoby </w:t>
      </w:r>
      <w:r>
        <w:rPr>
          <w:rFonts w:ascii="Times New Roman" w:hAnsi="Times New Roman" w:cs="Times New Roman"/>
          <w:sz w:val="22"/>
          <w:szCs w:val="22"/>
        </w:rPr>
        <w:t>dyskowe macierzy mają być zostać udostępnione do serwerów do wirtualizacji jako współdzielone zasoby do przechowywania maszyn wirtualnych. Ilości oraz wielkości zostaną ustalone z  Zamawiającym podczas wdrożenia.</w:t>
      </w:r>
    </w:p>
    <w:p w:rsidR="00084844" w:rsidRDefault="004B3C5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Instalacja i konfiguracja oprogramowanie do</w:t>
      </w:r>
      <w:r>
        <w:rPr>
          <w:rFonts w:ascii="Times New Roman" w:hAnsi="Times New Roman" w:cs="Times New Roman"/>
          <w:sz w:val="22"/>
          <w:szCs w:val="22"/>
        </w:rPr>
        <w:t xml:space="preserve"> wirtualizacji w sposób zalecany i udokumentowany przez producenta: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Utworzenie klastra HA przy pomocy dostarczonych serwerów.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Konfiguracja oprogramowania w taki sposób aby awaria pojedynczego połączenia LAN, SAN nie powodowała utraty komunikacji do zasobów</w:t>
      </w:r>
      <w:r>
        <w:rPr>
          <w:rFonts w:ascii="Times New Roman" w:hAnsi="Times New Roman" w:cs="Times New Roman"/>
          <w:sz w:val="22"/>
          <w:szCs w:val="22"/>
        </w:rPr>
        <w:t xml:space="preserve"> macierzy i sieci.</w:t>
      </w:r>
    </w:p>
    <w:p w:rsidR="00084844" w:rsidRDefault="004B3C5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Instalacja i konfiguracja oprogramowanie kopii zapasowych w sposób zalecany i udokumentowany przez producenta: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Instalacja i konfiguracja serwera kopii zapasowej.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Instalacja i konfiguracja serwera repozytorium z funkcjonalnością IMMUTABLE</w:t>
      </w:r>
      <w:r>
        <w:rPr>
          <w:rFonts w:ascii="Times New Roman" w:hAnsi="Times New Roman" w:cs="Times New Roman"/>
          <w:sz w:val="22"/>
          <w:szCs w:val="22"/>
        </w:rPr>
        <w:t>/WORM.</w:t>
      </w:r>
    </w:p>
    <w:p w:rsidR="00084844" w:rsidRDefault="004B3C51">
      <w:pPr>
        <w:pStyle w:val="Akapitzlist"/>
        <w:numPr>
          <w:ilvl w:val="1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Instalacja i konfiguracja biblioteki taśmowej oraz jej podłączenie do serwera kopii zapasowej.</w:t>
      </w:r>
    </w:p>
    <w:p w:rsidR="00084844" w:rsidRDefault="004B3C51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Dokumentacja konfiguracji, topologii połączeń i poświadczeń dla wdrożonych systemów.</w:t>
      </w:r>
    </w:p>
    <w:p w:rsidR="00084844" w:rsidRDefault="00084844">
      <w:pPr>
        <w:pStyle w:val="Standard"/>
        <w:jc w:val="both"/>
        <w:rPr>
          <w:sz w:val="22"/>
          <w:szCs w:val="22"/>
        </w:rPr>
      </w:pPr>
    </w:p>
    <w:p w:rsidR="00084844" w:rsidRDefault="004B3C51">
      <w:pPr>
        <w:pStyle w:val="Standard"/>
        <w:tabs>
          <w:tab w:val="left" w:pos="567"/>
        </w:tabs>
        <w:spacing w:line="312" w:lineRule="auto"/>
        <w:jc w:val="both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Pozostałe wymagania dotyczące przedmiotu zamówienia:</w:t>
      </w:r>
    </w:p>
    <w:p w:rsidR="00084844" w:rsidRDefault="004B3C51">
      <w:pPr>
        <w:pStyle w:val="Standard"/>
        <w:numPr>
          <w:ilvl w:val="0"/>
          <w:numId w:val="22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</w:t>
      </w:r>
      <w:r>
        <w:t>zęt będący przedmiotem umowy musi być fabrycznie nowy (nieużywany).</w:t>
      </w:r>
    </w:p>
    <w:p w:rsidR="00084844" w:rsidRDefault="004B3C51">
      <w:pPr>
        <w:pStyle w:val="Standard"/>
        <w:numPr>
          <w:ilvl w:val="0"/>
          <w:numId w:val="23"/>
        </w:numPr>
        <w:tabs>
          <w:tab w:val="left" w:pos="0"/>
          <w:tab w:val="left" w:pos="720"/>
        </w:tabs>
        <w:spacing w:line="312" w:lineRule="auto"/>
        <w:jc w:val="both"/>
      </w:pPr>
      <w:r>
        <w:t xml:space="preserve">Dostarczony sprzęt będący przedmiotem umowy musi posiadać wszystkie niezbędne kable, zasilacze oraz inne akcesoria niezbędne do jego prawidłowej pracy. </w:t>
      </w:r>
    </w:p>
    <w:p w:rsidR="00084844" w:rsidRDefault="004B3C51">
      <w:pPr>
        <w:pStyle w:val="Standard"/>
        <w:numPr>
          <w:ilvl w:val="0"/>
          <w:numId w:val="24"/>
        </w:numPr>
        <w:tabs>
          <w:tab w:val="left" w:pos="0"/>
          <w:tab w:val="left" w:pos="720"/>
        </w:tabs>
        <w:spacing w:line="312" w:lineRule="auto"/>
        <w:jc w:val="both"/>
      </w:pPr>
      <w:r>
        <w:t>Sterowniki/oprogramowanie do urządz</w:t>
      </w:r>
      <w:r>
        <w:t>eń będą dostarczone na osobnych nośnikach.</w:t>
      </w:r>
    </w:p>
    <w:p w:rsidR="00084844" w:rsidRDefault="004B3C51">
      <w:pPr>
        <w:pStyle w:val="Standard"/>
        <w:numPr>
          <w:ilvl w:val="0"/>
          <w:numId w:val="25"/>
        </w:numPr>
        <w:tabs>
          <w:tab w:val="left" w:pos="720"/>
        </w:tabs>
        <w:spacing w:line="312" w:lineRule="auto"/>
        <w:jc w:val="both"/>
      </w:pPr>
      <w:r>
        <w:t>Wszystkie urządzenia dostarczone przez Wykonawcę muszą pochodzić z autoryzowanego kanału sprzedaży producenta na rynek polski lub Unii Europejskiej.</w:t>
      </w:r>
    </w:p>
    <w:p w:rsidR="00084844" w:rsidRDefault="004B3C51">
      <w:pPr>
        <w:pStyle w:val="Standard"/>
        <w:numPr>
          <w:ilvl w:val="0"/>
          <w:numId w:val="26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musi posiadać oznakowanie CE.</w:t>
      </w:r>
    </w:p>
    <w:p w:rsidR="00084844" w:rsidRDefault="004B3C51">
      <w:pPr>
        <w:pStyle w:val="Standard"/>
        <w:numPr>
          <w:ilvl w:val="0"/>
          <w:numId w:val="27"/>
        </w:numPr>
        <w:tabs>
          <w:tab w:val="left" w:pos="720"/>
        </w:tabs>
        <w:spacing w:line="312" w:lineRule="auto"/>
        <w:jc w:val="both"/>
        <w:rPr>
          <w:b/>
        </w:rPr>
      </w:pPr>
      <w:r>
        <w:t xml:space="preserve">Całość przedmiotu zamówienia musi być objęta gwarancją Wykonawcy na okres </w:t>
      </w:r>
      <w:r>
        <w:rPr>
          <w:b/>
        </w:rPr>
        <w:t>60 miesięcy.</w:t>
      </w:r>
    </w:p>
    <w:p w:rsidR="00084844" w:rsidRDefault="004B3C51">
      <w:pPr>
        <w:pStyle w:val="Standard"/>
        <w:numPr>
          <w:ilvl w:val="0"/>
          <w:numId w:val="28"/>
        </w:numPr>
        <w:tabs>
          <w:tab w:val="left" w:pos="720"/>
        </w:tabs>
        <w:spacing w:line="312" w:lineRule="auto"/>
        <w:jc w:val="both"/>
      </w:pPr>
      <w:r>
        <w:t>W przypadku pojawienia się wątpliwości co do pochodzenia oferowanego sprzętu, jego właściwości, parametrów technicznych, oznaczeń czy też funkcjonalności, Zamawiający za</w:t>
      </w:r>
      <w:r>
        <w:t xml:space="preserve">strzega sobie prawo do wezwania Wykonawców do składania wyjaśnień, w tym do </w:t>
      </w:r>
      <w:r>
        <w:lastRenderedPageBreak/>
        <w:t>przedstawiania dokumentów uwiarygadniających powyższe, a także prawo do żądania próbek testowych tego sprzętu.</w:t>
      </w:r>
    </w:p>
    <w:p w:rsidR="00084844" w:rsidRDefault="004B3C51">
      <w:pPr>
        <w:pStyle w:val="Standard"/>
        <w:numPr>
          <w:ilvl w:val="0"/>
          <w:numId w:val="29"/>
        </w:numPr>
        <w:tabs>
          <w:tab w:val="left" w:pos="720"/>
        </w:tabs>
        <w:spacing w:line="312" w:lineRule="auto"/>
        <w:jc w:val="both"/>
      </w:pPr>
      <w:r>
        <w:t>Niedozwolone jest oferowanie sprzętu polegające na działaniu de-</w:t>
      </w:r>
      <w:proofErr w:type="spellStart"/>
      <w:r>
        <w:t>brand</w:t>
      </w:r>
      <w:r>
        <w:t>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</w:t>
      </w:r>
      <w:r>
        <w:t>, jakości, czy właściwości sprzętu będą odrzucane.</w:t>
      </w:r>
    </w:p>
    <w:p w:rsidR="00084844" w:rsidRDefault="00084844">
      <w:pPr>
        <w:pStyle w:val="Standard"/>
        <w:jc w:val="both"/>
        <w:rPr>
          <w:sz w:val="22"/>
          <w:szCs w:val="22"/>
        </w:rPr>
      </w:pPr>
    </w:p>
    <w:sectPr w:rsidR="00084844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0E92"/>
    <w:multiLevelType w:val="multilevel"/>
    <w:tmpl w:val="6AFA6B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02772"/>
    <w:multiLevelType w:val="multilevel"/>
    <w:tmpl w:val="D16CBF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2C4CC0"/>
    <w:multiLevelType w:val="multilevel"/>
    <w:tmpl w:val="42DC6D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5F0390"/>
    <w:multiLevelType w:val="multilevel"/>
    <w:tmpl w:val="AB9ABD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DF128F"/>
    <w:multiLevelType w:val="multilevel"/>
    <w:tmpl w:val="3FEE02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E23803"/>
    <w:multiLevelType w:val="multilevel"/>
    <w:tmpl w:val="F9025A7A"/>
    <w:lvl w:ilvl="0">
      <w:start w:val="1"/>
      <w:numFmt w:val="decimal"/>
      <w:pStyle w:val="Akapitzlist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B442BF9"/>
    <w:multiLevelType w:val="multilevel"/>
    <w:tmpl w:val="33721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A3319B"/>
    <w:multiLevelType w:val="multilevel"/>
    <w:tmpl w:val="A70E33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BFF1F09"/>
    <w:multiLevelType w:val="multilevel"/>
    <w:tmpl w:val="B1D0083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32454C25"/>
    <w:multiLevelType w:val="multilevel"/>
    <w:tmpl w:val="BC7A1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37282E98"/>
    <w:multiLevelType w:val="multilevel"/>
    <w:tmpl w:val="5A76BEA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CDA3B20"/>
    <w:multiLevelType w:val="multilevel"/>
    <w:tmpl w:val="EACE81E8"/>
    <w:lvl w:ilvl="0">
      <w:start w:val="1"/>
      <w:numFmt w:val="bullet"/>
      <w:lvlText w:val=""/>
      <w:lvlJc w:val="left"/>
      <w:pPr>
        <w:tabs>
          <w:tab w:val="num" w:pos="0"/>
        </w:tabs>
        <w:ind w:left="81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646698"/>
    <w:multiLevelType w:val="multilevel"/>
    <w:tmpl w:val="425899A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3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DD25ED3"/>
    <w:multiLevelType w:val="multilevel"/>
    <w:tmpl w:val="1CD8CD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3AC6DD5"/>
    <w:multiLevelType w:val="multilevel"/>
    <w:tmpl w:val="C840F5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5A75C1D"/>
    <w:multiLevelType w:val="multilevel"/>
    <w:tmpl w:val="002263D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45E52715"/>
    <w:multiLevelType w:val="multilevel"/>
    <w:tmpl w:val="2AA2E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01571E1"/>
    <w:multiLevelType w:val="multilevel"/>
    <w:tmpl w:val="0556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540F1BEC"/>
    <w:multiLevelType w:val="multilevel"/>
    <w:tmpl w:val="BF0245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F0B746F"/>
    <w:multiLevelType w:val="multilevel"/>
    <w:tmpl w:val="1CFC33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712E4980"/>
    <w:multiLevelType w:val="multilevel"/>
    <w:tmpl w:val="DC8EB1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10"/>
  </w:num>
  <w:num w:numId="5">
    <w:abstractNumId w:val="13"/>
  </w:num>
  <w:num w:numId="6">
    <w:abstractNumId w:val="20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11"/>
  </w:num>
  <w:num w:numId="12">
    <w:abstractNumId w:val="4"/>
  </w:num>
  <w:num w:numId="13">
    <w:abstractNumId w:val="6"/>
  </w:num>
  <w:num w:numId="14">
    <w:abstractNumId w:val="5"/>
  </w:num>
  <w:num w:numId="15">
    <w:abstractNumId w:val="14"/>
  </w:num>
  <w:num w:numId="16">
    <w:abstractNumId w:val="16"/>
  </w:num>
  <w:num w:numId="17">
    <w:abstractNumId w:val="19"/>
  </w:num>
  <w:num w:numId="18">
    <w:abstractNumId w:val="12"/>
  </w:num>
  <w:num w:numId="19">
    <w:abstractNumId w:val="18"/>
  </w:num>
  <w:num w:numId="20">
    <w:abstractNumId w:val="9"/>
  </w:num>
  <w:num w:numId="21">
    <w:abstractNumId w:val="1"/>
  </w:num>
  <w:num w:numId="22">
    <w:abstractNumId w:val="8"/>
    <w:lvlOverride w:ilvl="0">
      <w:startOverride w:val="1"/>
    </w:lvlOverride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844"/>
    <w:rsid w:val="00084844"/>
    <w:rsid w:val="004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2CBB"/>
  <w15:docId w15:val="{3BB6A7F6-71B5-483B-B378-B6BEDE2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Textbody"/>
    <w:link w:val="Nagwek1Znak"/>
    <w:uiPriority w:val="9"/>
    <w:qFormat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5778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778"/>
    <w:pPr>
      <w:keepNext/>
      <w:keepLines/>
      <w:widowControl/>
      <w:spacing w:before="160" w:after="80" w:line="276" w:lineRule="auto"/>
      <w:textAlignment w:val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778"/>
    <w:pPr>
      <w:keepNext/>
      <w:keepLines/>
      <w:widowControl/>
      <w:spacing w:before="80" w:after="40" w:line="276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778"/>
    <w:pPr>
      <w:keepNext/>
      <w:keepLines/>
      <w:widowControl/>
      <w:spacing w:before="80" w:after="40" w:line="276" w:lineRule="auto"/>
      <w:textAlignment w:val="auto"/>
      <w:outlineLvl w:val="4"/>
    </w:pPr>
    <w:rPr>
      <w:rFonts w:asciiTheme="minorHAnsi" w:eastAsiaTheme="majorEastAsia" w:hAnsiTheme="minorHAnsi" w:cstheme="majorBidi"/>
      <w:color w:val="2E74B5" w:themeColor="accent1" w:themeShade="BF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778"/>
    <w:pPr>
      <w:keepNext/>
      <w:keepLines/>
      <w:widowControl/>
      <w:spacing w:before="40" w:line="276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778"/>
    <w:pPr>
      <w:keepNext/>
      <w:keepLines/>
      <w:widowControl/>
      <w:spacing w:before="40" w:line="276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778"/>
    <w:pPr>
      <w:keepNext/>
      <w:keepLines/>
      <w:widowControl/>
      <w:spacing w:line="276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778"/>
    <w:pPr>
      <w:keepNext/>
      <w:keepLines/>
      <w:widowControl/>
      <w:spacing w:line="276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Symbol" w:eastAsia="Symbol" w:hAnsi="Symbol" w:cs="Symbol"/>
      <w:sz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qFormat/>
    <w:rPr>
      <w:rFonts w:ascii="Wingdings" w:eastAsia="Wingdings" w:hAnsi="Wingdings" w:cs="Wingdings"/>
      <w:sz w:val="20"/>
    </w:rPr>
  </w:style>
  <w:style w:type="character" w:customStyle="1" w:styleId="WW8Num5z0">
    <w:name w:val="WW8Num5z0"/>
    <w:qFormat/>
    <w:rPr>
      <w:rFonts w:ascii="Symbol" w:eastAsia="Symbol" w:hAnsi="Symbol" w:cs="Symbol"/>
      <w:sz w:val="20"/>
    </w:rPr>
  </w:style>
  <w:style w:type="character" w:customStyle="1" w:styleId="WW8Num5z1">
    <w:name w:val="WW8Num5z1"/>
    <w:qFormat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qFormat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1z0">
    <w:name w:val="WW8Num11z0"/>
    <w:qFormat/>
    <w:rPr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eastAsia="Symbol" w:hAnsi="Symbol" w:cs="Symbol"/>
    </w:rPr>
  </w:style>
  <w:style w:type="character" w:customStyle="1" w:styleId="WW8Num12z1">
    <w:name w:val="WW8Num12z1"/>
    <w:qFormat/>
    <w:rPr>
      <w:rFonts w:ascii="Courier New" w:eastAsia="Courier New" w:hAnsi="Courier New" w:cs="Courier New"/>
    </w:rPr>
  </w:style>
  <w:style w:type="character" w:customStyle="1" w:styleId="WW8Num12z2">
    <w:name w:val="WW8Num12z2"/>
    <w:qFormat/>
    <w:rPr>
      <w:rFonts w:ascii="Wingdings" w:eastAsia="Wingdings" w:hAnsi="Wingdings" w:cs="Wingdings"/>
    </w:rPr>
  </w:style>
  <w:style w:type="character" w:customStyle="1" w:styleId="WW8Num13z0">
    <w:name w:val="WW8Num13z0"/>
    <w:qFormat/>
    <w:rPr>
      <w:rFonts w:ascii="Symbol" w:eastAsia="Symbol" w:hAnsi="Symbol" w:cs="Symbol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Domylnaczcionkaakapitu2">
    <w:name w:val="Domyślna czcionka akapitu2"/>
    <w:qFormat/>
  </w:style>
  <w:style w:type="character" w:customStyle="1" w:styleId="Znakiwypunktowaniauser">
    <w:name w:val="Znaki wypunktowania (user)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Znakinumeracjiuser">
    <w:name w:val="Znaki numeracji (user)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azwaprodfirma">
    <w:name w:val="nazwa_prod_firma"/>
    <w:basedOn w:val="Domylnaczcionkaakapitu2"/>
    <w:qFormat/>
  </w:style>
  <w:style w:type="character" w:customStyle="1" w:styleId="Domylnaczcionkaakapitu1">
    <w:name w:val="Domyślna czcionka 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qnmdr">
    <w:name w:val="_qnmdr"/>
    <w:basedOn w:val="Domylnaczcionkaakapitu3"/>
    <w:qFormat/>
  </w:style>
  <w:style w:type="character" w:customStyle="1" w:styleId="pogrubienie">
    <w:name w:val="pogrubienie"/>
    <w:basedOn w:val="Domylnaczcionkaakapitu3"/>
    <w:qFormat/>
  </w:style>
  <w:style w:type="character" w:customStyle="1" w:styleId="js-cena">
    <w:name w:val="js-cena"/>
    <w:basedOn w:val="Domylnaczcionkaakapitu3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F5778"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F5778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F5778"/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F5778"/>
    <w:rPr>
      <w:rFonts w:asciiTheme="minorHAnsi" w:eastAsiaTheme="majorEastAsia" w:hAnsiTheme="minorHAnsi" w:cstheme="majorBidi"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F5778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7F5778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7F5778"/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7F5778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F5778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7F577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F57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7F577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F5778"/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7F577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778"/>
    <w:rPr>
      <w:b/>
      <w:bCs/>
      <w:smallCaps/>
      <w:color w:val="2E74B5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F57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F5778"/>
    <w:rPr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F5778"/>
    <w:rPr>
      <w:rFonts w:ascii="Arial" w:eastAsia="Lucida Sans Unicode" w:hAnsi="Arial" w:cs="Tahoma"/>
      <w:kern w:val="2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F5778"/>
  </w:style>
  <w:style w:type="character" w:customStyle="1" w:styleId="czeindeksuuser">
    <w:name w:val="Łącze indeksu (user)"/>
    <w:qFormat/>
    <w:rsid w:val="007F5778"/>
  </w:style>
  <w:style w:type="character" w:customStyle="1" w:styleId="TytuZnak1">
    <w:name w:val="Tytuł Znak1"/>
    <w:basedOn w:val="Domylnaczcionkaakapitu"/>
    <w:uiPriority w:val="10"/>
    <w:qFormat/>
    <w:rsid w:val="007F5778"/>
    <w:rPr>
      <w:rFonts w:asciiTheme="majorHAnsi" w:eastAsiaTheme="majorEastAsia" w:hAnsiTheme="majorHAnsi" w:cs="Mangal"/>
      <w:spacing w:val="-10"/>
      <w:kern w:val="2"/>
      <w:sz w:val="56"/>
      <w:szCs w:val="50"/>
      <w:lang w:eastAsia="zh-CN" w:bidi="hi-IN"/>
    </w:rPr>
  </w:style>
  <w:style w:type="character" w:customStyle="1" w:styleId="PodtytuZnak1">
    <w:name w:val="Podtytuł Znak1"/>
    <w:basedOn w:val="Domylnaczcionkaakapitu"/>
    <w:uiPriority w:val="11"/>
    <w:qFormat/>
    <w:rsid w:val="007F5778"/>
    <w:rPr>
      <w:rFonts w:asciiTheme="minorHAnsi" w:eastAsiaTheme="minorEastAsia" w:hAnsiTheme="minorHAnsi" w:cs="Mangal"/>
      <w:color w:val="5A5A5A" w:themeColor="text1" w:themeTint="A5"/>
      <w:spacing w:val="15"/>
      <w:kern w:val="2"/>
      <w:sz w:val="22"/>
      <w:lang w:eastAsia="zh-CN" w:bidi="hi-IN"/>
    </w:rPr>
  </w:style>
  <w:style w:type="character" w:customStyle="1" w:styleId="CytatZnak1">
    <w:name w:val="Cytat Znak1"/>
    <w:basedOn w:val="Domylnaczcionkaakapitu"/>
    <w:uiPriority w:val="29"/>
    <w:qFormat/>
    <w:rsid w:val="007F5778"/>
    <w:rPr>
      <w:rFonts w:cs="Mangal"/>
      <w:i/>
      <w:iCs/>
      <w:color w:val="404040" w:themeColor="text1" w:themeTint="BF"/>
      <w:kern w:val="2"/>
      <w:sz w:val="24"/>
      <w:szCs w:val="21"/>
      <w:lang w:eastAsia="zh-CN" w:bidi="hi-IN"/>
    </w:rPr>
  </w:style>
  <w:style w:type="character" w:customStyle="1" w:styleId="CytatintensywnyZnak1">
    <w:name w:val="Cytat intensywny Znak1"/>
    <w:basedOn w:val="Domylnaczcionkaakapitu"/>
    <w:uiPriority w:val="30"/>
    <w:qFormat/>
    <w:rsid w:val="007F5778"/>
    <w:rPr>
      <w:rFonts w:cs="Mangal"/>
      <w:i/>
      <w:iCs/>
      <w:color w:val="5B9BD5" w:themeColor="accent1"/>
      <w:kern w:val="2"/>
      <w:sz w:val="24"/>
      <w:szCs w:val="21"/>
      <w:lang w:eastAsia="zh-CN" w:bidi="hi-IN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F5778"/>
    <w:rPr>
      <w:rFonts w:cs="Mangal"/>
      <w:kern w:val="2"/>
      <w:szCs w:val="18"/>
      <w:lang w:eastAsia="zh-CN" w:bidi="hi-IN"/>
    </w:rPr>
  </w:style>
  <w:style w:type="character" w:customStyle="1" w:styleId="StopkaZnak1">
    <w:name w:val="Stopka Znak1"/>
    <w:basedOn w:val="Domylnaczcionkaakapitu"/>
    <w:uiPriority w:val="99"/>
    <w:semiHidden/>
    <w:qFormat/>
    <w:rsid w:val="007F5778"/>
    <w:rPr>
      <w:rFonts w:cs="Mangal"/>
      <w:kern w:val="2"/>
      <w:sz w:val="24"/>
      <w:szCs w:val="21"/>
      <w:lang w:eastAsia="zh-CN" w:bidi="hi-IN"/>
    </w:rPr>
  </w:style>
  <w:style w:type="paragraph" w:customStyle="1" w:styleId="Nagwek10">
    <w:name w:val="Nagłówek1"/>
    <w:basedOn w:val="Normalny"/>
    <w:next w:val="Tekstpodstawowy"/>
    <w:qFormat/>
    <w:rsid w:val="007F5778"/>
    <w:pPr>
      <w:keepNext/>
      <w:widowControl/>
      <w:spacing w:before="240" w:after="120" w:line="276" w:lineRule="auto"/>
      <w:textAlignment w:val="auto"/>
    </w:pPr>
    <w:rPr>
      <w:rFonts w:ascii="Liberation Sans" w:eastAsia="Microsoft YaHei" w:hAnsi="Liberation Sans"/>
      <w:sz w:val="28"/>
      <w:szCs w:val="28"/>
      <w:lang w:eastAsia="en-US" w:bidi="ar-SA"/>
      <w14:ligatures w14:val="standardContextua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F5778"/>
    <w:pPr>
      <w:widowControl/>
      <w:suppressLineNumbers/>
      <w:spacing w:after="160" w:line="276" w:lineRule="auto"/>
      <w:textAlignment w:val="auto"/>
    </w:pPr>
    <w:rPr>
      <w:rFonts w:asciiTheme="minorHAnsi" w:eastAsiaTheme="minorHAnsi" w:hAnsiTheme="minorHAnsi"/>
      <w:lang w:eastAsia="en-US" w:bidi="ar-SA"/>
      <w14:ligatures w14:val="standardContextual"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Indeksuser">
    <w:name w:val="Indeks (user)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agwek20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Podpis2">
    <w:name w:val="Podpis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  <w:rsid w:val="007F5778"/>
    <w:pPr>
      <w:widowControl/>
      <w:spacing w:after="160" w:line="276" w:lineRule="auto"/>
      <w:textAlignment w:val="auto"/>
    </w:pPr>
    <w:rPr>
      <w:rFonts w:asciiTheme="minorHAnsi" w:eastAsiaTheme="minorHAnsi" w:hAnsiTheme="minorHAnsi" w:cstheme="minorBidi"/>
      <w:lang w:eastAsia="en-US" w:bidi="ar-SA"/>
      <w14:ligatures w14:val="standardContextual"/>
    </w:r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qFormat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Zawartotabeliuser">
    <w:name w:val="Zawartość tabeli (user)"/>
    <w:basedOn w:val="Standard"/>
    <w:qFormat/>
    <w:pPr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7F5778"/>
    <w:pPr>
      <w:widowControl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sz w:val="56"/>
      <w:szCs w:val="56"/>
      <w:lang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778"/>
    <w:pPr>
      <w:widowControl/>
      <w:spacing w:after="160" w:line="276" w:lineRule="auto"/>
      <w:textAlignment w:val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7F5778"/>
    <w:pPr>
      <w:widowControl/>
      <w:spacing w:before="160" w:after="160" w:line="276" w:lineRule="auto"/>
      <w:jc w:val="center"/>
      <w:textAlignment w:val="auto"/>
    </w:pPr>
    <w:rPr>
      <w:i/>
      <w:iCs/>
      <w:color w:val="404040" w:themeColor="text1" w:themeTint="BF"/>
      <w:kern w:val="0"/>
      <w:sz w:val="20"/>
      <w:szCs w:val="20"/>
      <w:lang w:eastAsia="pl-PL" w:bidi="ar-SA"/>
    </w:rPr>
  </w:style>
  <w:style w:type="paragraph" w:styleId="Akapitzlist">
    <w:name w:val="List Paragraph"/>
    <w:basedOn w:val="Normalny"/>
    <w:uiPriority w:val="34"/>
    <w:qFormat/>
    <w:rsid w:val="007F5778"/>
    <w:pPr>
      <w:widowControl/>
      <w:numPr>
        <w:numId w:val="14"/>
      </w:numPr>
      <w:spacing w:after="160" w:line="276" w:lineRule="auto"/>
      <w:contextualSpacing/>
      <w:textAlignment w:val="auto"/>
    </w:pPr>
    <w:rPr>
      <w:rFonts w:asciiTheme="minorHAnsi" w:eastAsiaTheme="minorHAnsi" w:hAnsiTheme="minorHAnsi" w:cstheme="minorBidi"/>
      <w:lang w:eastAsia="en-US" w:bidi="ar-SA"/>
      <w14:ligatures w14:val="standardContextua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778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6" w:lineRule="auto"/>
      <w:ind w:left="864" w:right="864"/>
      <w:jc w:val="center"/>
      <w:textAlignment w:val="auto"/>
    </w:pPr>
    <w:rPr>
      <w:i/>
      <w:iCs/>
      <w:color w:val="2E74B5" w:themeColor="accent1" w:themeShade="BF"/>
      <w:kern w:val="0"/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778"/>
    <w:pPr>
      <w:widowControl/>
      <w:spacing w:after="160"/>
      <w:textAlignment w:val="auto"/>
    </w:pPr>
    <w:rPr>
      <w:kern w:val="0"/>
      <w:sz w:val="20"/>
      <w:szCs w:val="20"/>
      <w:lang w:val="en-US" w:eastAsia="pl-PL" w:bidi="ar-SA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7F5778"/>
    <w:pPr>
      <w:ind w:left="240" w:hanging="240"/>
    </w:pPr>
    <w:rPr>
      <w:rFonts w:cs="Mangal"/>
      <w:szCs w:val="21"/>
    </w:rPr>
  </w:style>
  <w:style w:type="paragraph" w:styleId="Nagwekindeksu">
    <w:name w:val="index heading"/>
    <w:basedOn w:val="Nagwek"/>
    <w:rsid w:val="007F5778"/>
    <w:pPr>
      <w:keepNext w:val="0"/>
      <w:widowControl/>
      <w:tabs>
        <w:tab w:val="center" w:pos="4536"/>
        <w:tab w:val="right" w:pos="9072"/>
      </w:tabs>
      <w:spacing w:before="0" w:after="0"/>
      <w:textAlignment w:val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5778"/>
    <w:pPr>
      <w:keepNext/>
      <w:keepLines/>
      <w:suppressAutoHyphens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5778"/>
    <w:pPr>
      <w:widowControl/>
      <w:spacing w:after="100" w:line="276" w:lineRule="auto"/>
      <w:ind w:left="240"/>
      <w:textAlignment w:val="auto"/>
    </w:pPr>
    <w:rPr>
      <w:rFonts w:asciiTheme="minorHAnsi" w:eastAsiaTheme="minorHAnsi" w:hAnsiTheme="minorHAnsi" w:cstheme="minorBidi"/>
      <w:lang w:eastAsia="en-US" w:bidi="ar-SA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F5778"/>
    <w:pPr>
      <w:widowControl/>
      <w:tabs>
        <w:tab w:val="center" w:pos="4536"/>
        <w:tab w:val="right" w:pos="9072"/>
      </w:tabs>
      <w:textAlignment w:val="auto"/>
    </w:pPr>
    <w:rPr>
      <w:kern w:val="0"/>
      <w:sz w:val="20"/>
      <w:szCs w:val="2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ec.org/" TargetMode="External"/><Relationship Id="rId5" Type="http://schemas.openxmlformats.org/officeDocument/2006/relationships/hyperlink" Target="http://www.spec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26</Pages>
  <Words>10668</Words>
  <Characters>64008</Characters>
  <Application>Microsoft Office Word</Application>
  <DocSecurity>0</DocSecurity>
  <Lines>533</Lines>
  <Paragraphs>149</Paragraphs>
  <ScaleCrop>false</ScaleCrop>
  <Company>KGP</Company>
  <LinksUpToDate>false</LinksUpToDate>
  <CharactersWithSpaces>74527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subject/>
  <dc:creator>POLICJA</dc:creator>
  <dc:description/>
  <cp:lastModifiedBy>Krzysztof Kliman</cp:lastModifiedBy>
  <cp:revision>8</cp:revision>
  <cp:lastPrinted>2017-10-13T09:18:00Z</cp:lastPrinted>
  <dcterms:created xsi:type="dcterms:W3CDTF">2025-04-04T10:35:00Z</dcterms:created>
  <dcterms:modified xsi:type="dcterms:W3CDTF">2025-04-22T12:07:00Z</dcterms:modified>
  <dc:language>pl-PL</dc:language>
</cp:coreProperties>
</file>